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C40E" w14:textId="1D93E782" w:rsidR="00A81C95" w:rsidRPr="00C93920" w:rsidRDefault="00994245" w:rsidP="00C93920">
      <w:pPr>
        <w:rPr>
          <w:b/>
          <w:bCs/>
          <w:smallCaps/>
          <w:sz w:val="28"/>
          <w:szCs w:val="28"/>
        </w:rPr>
      </w:pPr>
      <w:r>
        <w:rPr>
          <w:b/>
          <w:sz w:val="28"/>
        </w:rPr>
        <w:t>Annex 1 – Cost and Financing Plan</w:t>
      </w:r>
      <w:r>
        <w:rPr>
          <w:b/>
          <w:smallCaps/>
          <w:sz w:val="28"/>
        </w:rPr>
        <w:t xml:space="preserve"> </w:t>
      </w:r>
    </w:p>
    <w:p w14:paraId="393E39DE" w14:textId="77777777" w:rsidR="00A81C95" w:rsidRDefault="00A81C95" w:rsidP="00A81C95">
      <w:pPr>
        <w:pStyle w:val="Default"/>
        <w:rPr>
          <w:rFonts w:cs="Arial"/>
          <w:sz w:val="21"/>
          <w:szCs w:val="21"/>
        </w:rPr>
      </w:pPr>
    </w:p>
    <w:p w14:paraId="0DD3CC2C" w14:textId="52686E10" w:rsidR="006B25F6" w:rsidRDefault="00D157A4" w:rsidP="00D157A4">
      <w:pPr>
        <w:pStyle w:val="Default"/>
      </w:pPr>
      <w:r>
        <w:rPr>
          <w:sz w:val="21"/>
        </w:rPr>
        <w:t xml:space="preserve">Please draw up a Cost and Financing Plan in your national currency. </w:t>
      </w:r>
      <w:r w:rsidRPr="00587859">
        <w:rPr>
          <w:sz w:val="21"/>
        </w:rPr>
        <w:t xml:space="preserve">A sample Cost and Financing Plan is available </w:t>
      </w:r>
      <w:hyperlink r:id="rId8" w:history="1">
        <w:r w:rsidR="00F32DD9" w:rsidRPr="00BF6E76">
          <w:rPr>
            <w:color w:val="05037F"/>
            <w:sz w:val="21"/>
            <w:u w:val="single"/>
          </w:rPr>
          <w:t>here</w:t>
        </w:r>
      </w:hyperlink>
      <w:r w:rsidR="00F32DD9" w:rsidRPr="00F32DD9">
        <w:rPr>
          <w:sz w:val="21"/>
        </w:rPr>
        <w:t>:</w:t>
      </w:r>
    </w:p>
    <w:p w14:paraId="2F2AC61E" w14:textId="3B04E832" w:rsidR="00A81C95" w:rsidRPr="0051335D" w:rsidRDefault="00D94E42" w:rsidP="00D157A4">
      <w:pPr>
        <w:pStyle w:val="Default"/>
        <w:rPr>
          <w:rFonts w:cs="Arial"/>
          <w:sz w:val="21"/>
          <w:szCs w:val="21"/>
        </w:rPr>
      </w:pPr>
      <w:r>
        <w:object w:dxaOrig="1530" w:dyaOrig="990" w14:anchorId="54898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pt;height:49.5pt" o:ole="">
            <v:imagedata r:id="rId9" o:title=""/>
          </v:shape>
          <o:OLEObject Type="Link" ProgID="Excel.Sheet.12" ShapeID="_x0000_i1030" DrawAspect="Icon" r:id="rId10" UpdateMode="Always">
            <o:LinkType>EnhancedMetaFile</o:LinkType>
            <o:LockedField>false</o:LockedField>
            <o:FieldCodes>\f 0</o:FieldCodes>
          </o:OLEObject>
        </w:object>
      </w:r>
    </w:p>
    <w:p w14:paraId="4099D4BD" w14:textId="46233EE5" w:rsidR="00A81C95" w:rsidRDefault="00A81C95" w:rsidP="00A81C95">
      <w:pPr>
        <w:rPr>
          <w:rFonts w:cs="Arial"/>
          <w:u w:val="single"/>
        </w:rPr>
      </w:pPr>
    </w:p>
    <w:tbl>
      <w:tblPr>
        <w:tblW w:w="932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9322"/>
      </w:tblGrid>
      <w:tr w:rsidR="00A81C95" w:rsidRPr="005D3D51" w14:paraId="08A76109" w14:textId="77777777" w:rsidTr="00FC574D">
        <w:trPr>
          <w:trHeight w:val="128"/>
        </w:trPr>
        <w:tc>
          <w:tcPr>
            <w:tcW w:w="9322" w:type="dxa"/>
          </w:tcPr>
          <w:p w14:paraId="56B0B060" w14:textId="77777777" w:rsidR="00B70B31" w:rsidRPr="00FB4C3A" w:rsidRDefault="00A81C95" w:rsidP="00C93920">
            <w:pPr>
              <w:pStyle w:val="Default"/>
              <w:tabs>
                <w:tab w:val="left" w:pos="284"/>
              </w:tabs>
              <w:spacing w:after="60" w:line="276" w:lineRule="auto"/>
              <w:ind w:left="284" w:hanging="284"/>
              <w:rPr>
                <w:b/>
                <w:sz w:val="21"/>
                <w:szCs w:val="21"/>
              </w:rPr>
            </w:pPr>
            <w:r w:rsidRPr="00FB4C3A">
              <w:rPr>
                <w:b/>
                <w:sz w:val="21"/>
              </w:rPr>
              <w:t>A)</w:t>
            </w:r>
            <w:r w:rsidRPr="00FB4C3A">
              <w:rPr>
                <w:b/>
                <w:sz w:val="21"/>
              </w:rPr>
              <w:tab/>
              <w:t>Financing Plan</w:t>
            </w:r>
          </w:p>
          <w:p w14:paraId="7172FC3A" w14:textId="37031EA7" w:rsidR="00A6293A" w:rsidRPr="005D3D51" w:rsidRDefault="00D157A4" w:rsidP="00C93920">
            <w:pPr>
              <w:spacing w:after="60"/>
              <w:rPr>
                <w:sz w:val="21"/>
                <w:szCs w:val="21"/>
              </w:rPr>
            </w:pPr>
            <w:r>
              <w:rPr>
                <w:sz w:val="21"/>
              </w:rPr>
              <w:t>In the Financing Plan, please state any receipts in the following three categories:</w:t>
            </w:r>
          </w:p>
          <w:p w14:paraId="536B25F8" w14:textId="1BE669BB" w:rsidR="00B70B31" w:rsidRPr="005D3D51" w:rsidRDefault="00B70B31" w:rsidP="00B70B31">
            <w:pPr>
              <w:pStyle w:val="Listenabsatz"/>
              <w:numPr>
                <w:ilvl w:val="0"/>
                <w:numId w:val="9"/>
              </w:numPr>
              <w:spacing w:after="60"/>
              <w:rPr>
                <w:sz w:val="21"/>
                <w:szCs w:val="21"/>
              </w:rPr>
            </w:pPr>
            <w:r>
              <w:rPr>
                <w:sz w:val="21"/>
              </w:rPr>
              <w:t>local monetary contribution,</w:t>
            </w:r>
          </w:p>
          <w:p w14:paraId="509C85CA" w14:textId="77777777" w:rsidR="00B70B31" w:rsidRPr="005D3D51" w:rsidRDefault="00B70B31" w:rsidP="00B70B31">
            <w:pPr>
              <w:pStyle w:val="Listenabsatz"/>
              <w:numPr>
                <w:ilvl w:val="0"/>
                <w:numId w:val="9"/>
              </w:numPr>
              <w:spacing w:after="60"/>
              <w:rPr>
                <w:sz w:val="21"/>
                <w:szCs w:val="21"/>
              </w:rPr>
            </w:pPr>
            <w:r>
              <w:rPr>
                <w:sz w:val="21"/>
              </w:rPr>
              <w:t>monetary contributions from third parties,</w:t>
            </w:r>
          </w:p>
          <w:p w14:paraId="1FC58966" w14:textId="77777777" w:rsidR="00B70B31" w:rsidRPr="005D3D51" w:rsidRDefault="00B70B31" w:rsidP="00B70B31">
            <w:pPr>
              <w:pStyle w:val="Listenabsatz"/>
              <w:numPr>
                <w:ilvl w:val="0"/>
                <w:numId w:val="9"/>
              </w:numPr>
              <w:spacing w:after="60"/>
              <w:rPr>
                <w:sz w:val="21"/>
                <w:szCs w:val="21"/>
              </w:rPr>
            </w:pPr>
            <w:r>
              <w:rPr>
                <w:sz w:val="21"/>
              </w:rPr>
              <w:t>funding requested from Misereor/KZE.</w:t>
            </w:r>
          </w:p>
          <w:p w14:paraId="7834E0EC" w14:textId="77777777" w:rsidR="00B70B31" w:rsidRPr="005D3D51" w:rsidRDefault="00B70B31" w:rsidP="00B70B31">
            <w:pPr>
              <w:ind w:left="284"/>
              <w:rPr>
                <w:sz w:val="21"/>
                <w:szCs w:val="21"/>
              </w:rPr>
            </w:pPr>
          </w:p>
          <w:p w14:paraId="33D938EB" w14:textId="615F7C47" w:rsidR="00B70B31" w:rsidRPr="005D3D51" w:rsidRDefault="00D157A4" w:rsidP="00C93920">
            <w:pPr>
              <w:rPr>
                <w:sz w:val="21"/>
                <w:szCs w:val="21"/>
              </w:rPr>
            </w:pPr>
            <w:r>
              <w:rPr>
                <w:sz w:val="21"/>
              </w:rPr>
              <w:t>It is important for Misereor that you provide – as far as possible – proof of the Legal Holder’s own contribution and any third-party contributions. Please plan to provide your own monetary contributions and third-party contributions wherever possible and take this into account when drawing up your budget.</w:t>
            </w:r>
          </w:p>
          <w:p w14:paraId="78DAADF6" w14:textId="77777777" w:rsidR="00D157A4" w:rsidRPr="005D3D51" w:rsidRDefault="00D157A4" w:rsidP="00B70B31">
            <w:pPr>
              <w:rPr>
                <w:rFonts w:asciiTheme="majorHAnsi" w:hAnsiTheme="majorHAnsi"/>
                <w:sz w:val="21"/>
                <w:szCs w:val="21"/>
              </w:rPr>
            </w:pPr>
          </w:p>
          <w:p w14:paraId="79CAF03A" w14:textId="77777777" w:rsidR="00B70B31" w:rsidRPr="005D3D51" w:rsidRDefault="00B70B31" w:rsidP="00B70B31">
            <w:pPr>
              <w:autoSpaceDE w:val="0"/>
              <w:autoSpaceDN w:val="0"/>
              <w:adjustRightInd w:val="0"/>
              <w:rPr>
                <w:rFonts w:cs="MetaBookLF"/>
                <w:color w:val="000000"/>
                <w:sz w:val="21"/>
                <w:szCs w:val="21"/>
                <w:u w:val="single"/>
              </w:rPr>
            </w:pPr>
            <w:r>
              <w:rPr>
                <w:color w:val="000000"/>
                <w:sz w:val="21"/>
                <w:u w:val="single"/>
              </w:rPr>
              <w:t>We would also like to draw your attention to the following points:</w:t>
            </w:r>
          </w:p>
          <w:p w14:paraId="796ED1E9" w14:textId="0D5FA1E5" w:rsidR="00B70B31" w:rsidRPr="005D3D51" w:rsidRDefault="00B70B31" w:rsidP="00B70B31">
            <w:pPr>
              <w:pStyle w:val="Listenabsatz"/>
              <w:numPr>
                <w:ilvl w:val="0"/>
                <w:numId w:val="3"/>
              </w:numPr>
              <w:autoSpaceDE w:val="0"/>
              <w:autoSpaceDN w:val="0"/>
              <w:adjustRightInd w:val="0"/>
              <w:spacing w:before="120" w:line="240" w:lineRule="auto"/>
              <w:ind w:left="284" w:hanging="284"/>
              <w:contextualSpacing w:val="0"/>
              <w:rPr>
                <w:rFonts w:cs="MetaBookLF"/>
                <w:color w:val="000000"/>
                <w:sz w:val="21"/>
                <w:szCs w:val="21"/>
              </w:rPr>
            </w:pPr>
            <w:r>
              <w:rPr>
                <w:color w:val="000000"/>
                <w:sz w:val="21"/>
              </w:rPr>
              <w:t xml:space="preserve">The </w:t>
            </w:r>
            <w:r w:rsidR="002652DF">
              <w:rPr>
                <w:color w:val="000000"/>
                <w:sz w:val="21"/>
              </w:rPr>
              <w:t xml:space="preserve">agreed </w:t>
            </w:r>
            <w:r>
              <w:rPr>
                <w:color w:val="000000"/>
                <w:sz w:val="21"/>
              </w:rPr>
              <w:t>local monetary contribution and the monetary contributions made by other organisations</w:t>
            </w:r>
            <w:r>
              <w:rPr>
                <w:i/>
                <w:color w:val="000000"/>
                <w:sz w:val="21"/>
              </w:rPr>
              <w:t xml:space="preserve"> </w:t>
            </w:r>
            <w:r>
              <w:rPr>
                <w:color w:val="000000"/>
                <w:sz w:val="21"/>
              </w:rPr>
              <w:t>(</w:t>
            </w:r>
            <w:r>
              <w:rPr>
                <w:i/>
                <w:iCs/>
                <w:color w:val="000000"/>
                <w:sz w:val="21"/>
              </w:rPr>
              <w:t>third parties</w:t>
            </w:r>
            <w:r>
              <w:rPr>
                <w:color w:val="000000"/>
                <w:sz w:val="21"/>
              </w:rPr>
              <w:t>) can only be made</w:t>
            </w:r>
          </w:p>
          <w:p w14:paraId="2B77C6C4" w14:textId="77777777" w:rsidR="00B70B31" w:rsidRPr="005D3D51" w:rsidRDefault="00B70B31" w:rsidP="00B70B31">
            <w:pPr>
              <w:pStyle w:val="Listenabsatz"/>
              <w:numPr>
                <w:ilvl w:val="0"/>
                <w:numId w:val="8"/>
              </w:numPr>
              <w:autoSpaceDE w:val="0"/>
              <w:autoSpaceDN w:val="0"/>
              <w:adjustRightInd w:val="0"/>
              <w:rPr>
                <w:rFonts w:cs="MetaBookLF"/>
                <w:color w:val="000000"/>
                <w:sz w:val="21"/>
                <w:szCs w:val="21"/>
              </w:rPr>
            </w:pPr>
            <w:r>
              <w:rPr>
                <w:color w:val="000000"/>
                <w:sz w:val="21"/>
              </w:rPr>
              <w:t xml:space="preserve">within the approved project funding period, and </w:t>
            </w:r>
          </w:p>
          <w:p w14:paraId="2D110F11" w14:textId="77777777" w:rsidR="00B70B31" w:rsidRPr="005D3D51" w:rsidRDefault="00B70B31" w:rsidP="00B70B31">
            <w:pPr>
              <w:pStyle w:val="Listenabsatz"/>
              <w:numPr>
                <w:ilvl w:val="0"/>
                <w:numId w:val="8"/>
              </w:numPr>
              <w:autoSpaceDE w:val="0"/>
              <w:autoSpaceDN w:val="0"/>
              <w:adjustRightInd w:val="0"/>
              <w:rPr>
                <w:rFonts w:cs="MetaBookLF"/>
                <w:color w:val="000000"/>
                <w:sz w:val="21"/>
                <w:szCs w:val="21"/>
              </w:rPr>
            </w:pPr>
            <w:r>
              <w:rPr>
                <w:color w:val="000000"/>
                <w:sz w:val="21"/>
              </w:rPr>
              <w:t xml:space="preserve">for the expenditures agreed in the Cost Plan. </w:t>
            </w:r>
          </w:p>
          <w:p w14:paraId="027BCC0E" w14:textId="77777777" w:rsidR="00B70B31" w:rsidRPr="005D3D51" w:rsidRDefault="00B70B31" w:rsidP="00B70B31">
            <w:pPr>
              <w:ind w:left="284"/>
              <w:rPr>
                <w:rFonts w:cs="Arial"/>
                <w:sz w:val="21"/>
                <w:szCs w:val="21"/>
              </w:rPr>
            </w:pPr>
            <w:r>
              <w:rPr>
                <w:sz w:val="21"/>
              </w:rPr>
              <w:t>Please indicate any firm funding pledges that have been made (please also submit proof) and how certain you are that these funds will be obtained.</w:t>
            </w:r>
          </w:p>
          <w:p w14:paraId="624FF67F" w14:textId="655493C4" w:rsidR="00B70B31" w:rsidRPr="005D3D51" w:rsidRDefault="00B70B31" w:rsidP="00587859">
            <w:pPr>
              <w:pStyle w:val="Listenabsatz"/>
              <w:widowControl w:val="0"/>
              <w:numPr>
                <w:ilvl w:val="0"/>
                <w:numId w:val="3"/>
              </w:numPr>
              <w:autoSpaceDE w:val="0"/>
              <w:autoSpaceDN w:val="0"/>
              <w:adjustRightInd w:val="0"/>
              <w:spacing w:line="240" w:lineRule="auto"/>
              <w:ind w:left="284" w:hanging="284"/>
              <w:contextualSpacing w:val="0"/>
              <w:rPr>
                <w:rFonts w:cs="Arial"/>
                <w:sz w:val="21"/>
                <w:szCs w:val="21"/>
              </w:rPr>
            </w:pPr>
            <w:r>
              <w:rPr>
                <w:i/>
                <w:iCs/>
                <w:sz w:val="21"/>
              </w:rPr>
              <w:t>Funds</w:t>
            </w:r>
            <w:r>
              <w:rPr>
                <w:sz w:val="21"/>
              </w:rPr>
              <w:t xml:space="preserve"> provided by </w:t>
            </w:r>
            <w:r>
              <w:rPr>
                <w:i/>
                <w:sz w:val="21"/>
              </w:rPr>
              <w:t>other German partners</w:t>
            </w:r>
            <w:r>
              <w:rPr>
                <w:sz w:val="21"/>
              </w:rPr>
              <w:t xml:space="preserve"> must be highlighted. Please ascertain whether these amounts are coming from public/government funds.</w:t>
            </w:r>
          </w:p>
          <w:p w14:paraId="30B055EF" w14:textId="6BF711A3" w:rsidR="00B70B31" w:rsidRPr="005D3D51" w:rsidRDefault="00587859" w:rsidP="00B70B31">
            <w:pPr>
              <w:pStyle w:val="Listenabsatz"/>
              <w:widowControl w:val="0"/>
              <w:numPr>
                <w:ilvl w:val="0"/>
                <w:numId w:val="3"/>
              </w:numPr>
              <w:autoSpaceDE w:val="0"/>
              <w:autoSpaceDN w:val="0"/>
              <w:adjustRightInd w:val="0"/>
              <w:spacing w:before="120" w:line="240" w:lineRule="auto"/>
              <w:ind w:left="284" w:hanging="284"/>
              <w:rPr>
                <w:rFonts w:eastAsiaTheme="minorEastAsia" w:cs="MetaBookLF"/>
                <w:color w:val="000000"/>
                <w:sz w:val="21"/>
                <w:szCs w:val="21"/>
              </w:rPr>
            </w:pPr>
            <w:r>
              <w:rPr>
                <w:i/>
                <w:color w:val="000000" w:themeColor="text1"/>
                <w:sz w:val="21"/>
              </w:rPr>
              <w:t>Any</w:t>
            </w:r>
            <w:r w:rsidR="00B70B31">
              <w:rPr>
                <w:i/>
                <w:color w:val="000000" w:themeColor="text1"/>
                <w:sz w:val="21"/>
              </w:rPr>
              <w:t xml:space="preserve"> planned non-monetary contributions</w:t>
            </w:r>
            <w:r w:rsidR="00B70B31">
              <w:rPr>
                <w:color w:val="000000" w:themeColor="text1"/>
                <w:sz w:val="21"/>
              </w:rPr>
              <w:t xml:space="preserve"> (voluntary work, assignments such as the use of the organisation’s own premises, computers, vehicles, etc.) can be shown separately.</w:t>
            </w:r>
          </w:p>
          <w:p w14:paraId="77DD7C99" w14:textId="77777777" w:rsidR="00B70B31" w:rsidRPr="005D3D51" w:rsidRDefault="00B70B31" w:rsidP="00B70B31">
            <w:pPr>
              <w:pStyle w:val="Listenabsatz"/>
              <w:widowControl w:val="0"/>
              <w:autoSpaceDE w:val="0"/>
              <w:autoSpaceDN w:val="0"/>
              <w:adjustRightInd w:val="0"/>
              <w:spacing w:before="120" w:line="240" w:lineRule="auto"/>
              <w:ind w:left="284"/>
              <w:rPr>
                <w:rFonts w:eastAsiaTheme="minorEastAsia" w:cs="MetaBookLF"/>
                <w:color w:val="000000"/>
                <w:sz w:val="21"/>
                <w:szCs w:val="21"/>
              </w:rPr>
            </w:pPr>
          </w:p>
          <w:p w14:paraId="56C2EC54" w14:textId="77777777" w:rsidR="00B70B31" w:rsidRPr="005D3D51" w:rsidRDefault="00B70B31" w:rsidP="00FC574D">
            <w:pPr>
              <w:pStyle w:val="Default"/>
              <w:tabs>
                <w:tab w:val="left" w:pos="284"/>
              </w:tabs>
              <w:ind w:left="284" w:hanging="284"/>
              <w:rPr>
                <w:sz w:val="21"/>
                <w:szCs w:val="21"/>
              </w:rPr>
            </w:pPr>
          </w:p>
          <w:p w14:paraId="68831F1D" w14:textId="33B203F7" w:rsidR="00A81C95" w:rsidRPr="00FB4C3A" w:rsidRDefault="00B70B31" w:rsidP="00B70B31">
            <w:pPr>
              <w:pStyle w:val="Default"/>
              <w:tabs>
                <w:tab w:val="left" w:pos="284"/>
              </w:tabs>
              <w:ind w:left="284" w:hanging="284"/>
              <w:rPr>
                <w:rFonts w:eastAsiaTheme="minorEastAsia"/>
                <w:b/>
                <w:sz w:val="21"/>
                <w:szCs w:val="21"/>
              </w:rPr>
            </w:pPr>
            <w:r w:rsidRPr="00FB4C3A">
              <w:rPr>
                <w:b/>
                <w:sz w:val="21"/>
              </w:rPr>
              <w:t>B)</w:t>
            </w:r>
            <w:r w:rsidRPr="00FB4C3A">
              <w:rPr>
                <w:b/>
                <w:sz w:val="21"/>
              </w:rPr>
              <w:tab/>
              <w:t xml:space="preserve">Cost Plan </w:t>
            </w:r>
          </w:p>
          <w:p w14:paraId="188E4C7E" w14:textId="537777EA" w:rsidR="00A81C95" w:rsidRPr="005D3D51" w:rsidRDefault="00A81C95" w:rsidP="00FC574D">
            <w:pPr>
              <w:pStyle w:val="Default"/>
              <w:numPr>
                <w:ilvl w:val="0"/>
                <w:numId w:val="4"/>
              </w:numPr>
              <w:tabs>
                <w:tab w:val="left" w:pos="284"/>
                <w:tab w:val="left" w:pos="567"/>
              </w:tabs>
              <w:spacing w:before="60"/>
              <w:ind w:left="568" w:hanging="284"/>
              <w:rPr>
                <w:sz w:val="21"/>
                <w:szCs w:val="21"/>
              </w:rPr>
            </w:pPr>
            <w:r>
              <w:rPr>
                <w:sz w:val="21"/>
              </w:rPr>
              <w:t>Construction measures</w:t>
            </w:r>
          </w:p>
          <w:p w14:paraId="45B9B533" w14:textId="1680A973" w:rsidR="00A81C95" w:rsidRPr="005D3D51" w:rsidRDefault="00402F4D" w:rsidP="00A81C95">
            <w:pPr>
              <w:pStyle w:val="Default"/>
              <w:tabs>
                <w:tab w:val="left" w:pos="284"/>
                <w:tab w:val="left" w:pos="567"/>
              </w:tabs>
              <w:spacing w:before="60"/>
              <w:ind w:left="568"/>
              <w:rPr>
                <w:color w:val="auto"/>
                <w:sz w:val="21"/>
                <w:szCs w:val="21"/>
              </w:rPr>
            </w:pPr>
            <w:r>
              <w:rPr>
                <w:color w:val="auto"/>
                <w:sz w:val="21"/>
              </w:rPr>
              <w:t xml:space="preserve">Please note that we cannot fund land purchases. Building plots must be provided by the project partner as an extra-budgetary local contribution. </w:t>
            </w:r>
          </w:p>
          <w:p w14:paraId="26379556" w14:textId="29402F84" w:rsidR="00A81C95" w:rsidRPr="005D3D51" w:rsidRDefault="00A81C95" w:rsidP="005356CC">
            <w:pPr>
              <w:pStyle w:val="Default"/>
              <w:tabs>
                <w:tab w:val="left" w:pos="284"/>
                <w:tab w:val="left" w:pos="567"/>
              </w:tabs>
              <w:spacing w:before="60"/>
              <w:ind w:left="568"/>
              <w:rPr>
                <w:color w:val="auto"/>
                <w:sz w:val="21"/>
                <w:szCs w:val="21"/>
              </w:rPr>
            </w:pPr>
            <w:r>
              <w:rPr>
                <w:color w:val="auto"/>
                <w:sz w:val="21"/>
              </w:rPr>
              <w:t>Please show all planned construction measures on an existing plot, including new constructions, conversions and renovations. Please also list any planned installations of solar or irrigation systems. These systems require separate structural or static tests. Construction measures that started before the beginning of the project are not eligible for funding.</w:t>
            </w:r>
          </w:p>
          <w:p w14:paraId="501CB470" w14:textId="5451BFD9" w:rsidR="008C1E23" w:rsidRPr="005D3D51" w:rsidRDefault="000B4075" w:rsidP="005356CC">
            <w:pPr>
              <w:pStyle w:val="Default"/>
              <w:tabs>
                <w:tab w:val="left" w:pos="284"/>
                <w:tab w:val="left" w:pos="567"/>
              </w:tabs>
              <w:spacing w:before="60"/>
              <w:ind w:left="568"/>
              <w:rPr>
                <w:color w:val="auto"/>
                <w:sz w:val="21"/>
                <w:szCs w:val="21"/>
              </w:rPr>
            </w:pPr>
            <w:r w:rsidRPr="00587859">
              <w:rPr>
                <w:color w:val="auto"/>
                <w:sz w:val="21"/>
              </w:rPr>
              <w:t>For further information please consult the “Special Rules Concerning Building Projects” and “Documents and information required by KZE on proposed building measures”. These are available on our website:</w:t>
            </w:r>
            <w:r>
              <w:t xml:space="preserve"> </w:t>
            </w:r>
            <w:hyperlink r:id="rId11" w:history="1">
              <w:r>
                <w:rPr>
                  <w:rStyle w:val="Hyperlink"/>
                  <w:sz w:val="21"/>
                </w:rPr>
                <w:t>https://www.misereor.org/cooperation-service/policies-guides-forms</w:t>
              </w:r>
            </w:hyperlink>
            <w:r>
              <w:t>.</w:t>
            </w:r>
          </w:p>
          <w:p w14:paraId="7F542ABD" w14:textId="29E26EDD" w:rsidR="00A81C95" w:rsidRPr="005D3D51" w:rsidRDefault="00A81C95" w:rsidP="00FC574D">
            <w:pPr>
              <w:pStyle w:val="Default"/>
              <w:numPr>
                <w:ilvl w:val="0"/>
                <w:numId w:val="4"/>
              </w:numPr>
              <w:tabs>
                <w:tab w:val="left" w:pos="284"/>
                <w:tab w:val="left" w:pos="567"/>
              </w:tabs>
              <w:spacing w:before="60"/>
              <w:ind w:left="568" w:hanging="284"/>
              <w:rPr>
                <w:bCs/>
                <w:color w:val="auto"/>
                <w:sz w:val="21"/>
                <w:szCs w:val="21"/>
              </w:rPr>
            </w:pPr>
            <w:r>
              <w:rPr>
                <w:color w:val="auto"/>
                <w:sz w:val="21"/>
              </w:rPr>
              <w:t>Non-recurrent expenditures (investment</w:t>
            </w:r>
            <w:r w:rsidR="00587859">
              <w:rPr>
                <w:color w:val="auto"/>
                <w:sz w:val="21"/>
              </w:rPr>
              <w:t>s</w:t>
            </w:r>
            <w:r>
              <w:rPr>
                <w:color w:val="auto"/>
                <w:sz w:val="21"/>
              </w:rPr>
              <w:t>)</w:t>
            </w:r>
          </w:p>
          <w:p w14:paraId="0A2F3998" w14:textId="746777BD" w:rsidR="00A81C95" w:rsidRPr="005D3D51" w:rsidRDefault="00A81C95" w:rsidP="00FC574D">
            <w:pPr>
              <w:pStyle w:val="Default"/>
              <w:tabs>
                <w:tab w:val="left" w:pos="1127"/>
              </w:tabs>
              <w:ind w:left="567"/>
              <w:rPr>
                <w:color w:val="auto"/>
                <w:sz w:val="21"/>
                <w:szCs w:val="21"/>
              </w:rPr>
            </w:pPr>
            <w:r>
              <w:rPr>
                <w:color w:val="auto"/>
                <w:sz w:val="21"/>
              </w:rPr>
              <w:t>Please list all items with a value exceeding EUR 800</w:t>
            </w:r>
            <w:r w:rsidR="00FB2367">
              <w:rPr>
                <w:color w:val="auto"/>
                <w:sz w:val="21"/>
              </w:rPr>
              <w:t xml:space="preserve"> </w:t>
            </w:r>
            <w:r w:rsidR="00601342">
              <w:rPr>
                <w:color w:val="auto"/>
                <w:sz w:val="21"/>
              </w:rPr>
              <w:t xml:space="preserve">excluding VAT </w:t>
            </w:r>
            <w:r w:rsidR="00FB2367">
              <w:rPr>
                <w:color w:val="auto"/>
                <w:sz w:val="21"/>
              </w:rPr>
              <w:t>(</w:t>
            </w:r>
            <w:r w:rsidR="00853779">
              <w:rPr>
                <w:color w:val="auto"/>
                <w:sz w:val="21"/>
              </w:rPr>
              <w:t xml:space="preserve">under German law all items above EUR 800 </w:t>
            </w:r>
            <w:r w:rsidR="00601342">
              <w:rPr>
                <w:color w:val="auto"/>
                <w:sz w:val="21"/>
              </w:rPr>
              <w:t xml:space="preserve">excl. VAT </w:t>
            </w:r>
            <w:r w:rsidR="00FB2367">
              <w:rPr>
                <w:color w:val="auto"/>
                <w:sz w:val="21"/>
              </w:rPr>
              <w:t xml:space="preserve">must be </w:t>
            </w:r>
            <w:r w:rsidR="00853779">
              <w:rPr>
                <w:color w:val="auto"/>
                <w:sz w:val="21"/>
              </w:rPr>
              <w:t>inventoried</w:t>
            </w:r>
            <w:r w:rsidR="00FB2367">
              <w:rPr>
                <w:color w:val="auto"/>
                <w:sz w:val="21"/>
              </w:rPr>
              <w:t>)</w:t>
            </w:r>
            <w:r>
              <w:rPr>
                <w:color w:val="auto"/>
                <w:sz w:val="21"/>
              </w:rPr>
              <w:t xml:space="preserve">. This includes </w:t>
            </w:r>
            <w:r w:rsidR="00FB2367">
              <w:rPr>
                <w:color w:val="auto"/>
                <w:sz w:val="21"/>
              </w:rPr>
              <w:t xml:space="preserve">for instance </w:t>
            </w:r>
            <w:r>
              <w:rPr>
                <w:color w:val="auto"/>
                <w:sz w:val="21"/>
              </w:rPr>
              <w:t>vehicles, machines, IT equipment including software licences</w:t>
            </w:r>
            <w:r w:rsidR="00FB2367">
              <w:rPr>
                <w:color w:val="auto"/>
                <w:sz w:val="21"/>
              </w:rPr>
              <w:t>.</w:t>
            </w:r>
          </w:p>
          <w:p w14:paraId="50C13936" w14:textId="629B9955" w:rsidR="00A81C95" w:rsidRPr="005D3D51" w:rsidRDefault="00A81C95" w:rsidP="00FC574D">
            <w:pPr>
              <w:pStyle w:val="Default"/>
              <w:numPr>
                <w:ilvl w:val="0"/>
                <w:numId w:val="4"/>
              </w:numPr>
              <w:tabs>
                <w:tab w:val="left" w:pos="284"/>
                <w:tab w:val="left" w:pos="567"/>
                <w:tab w:val="left" w:pos="1127"/>
              </w:tabs>
              <w:spacing w:before="60"/>
              <w:ind w:left="568" w:hanging="284"/>
              <w:rPr>
                <w:color w:val="auto"/>
                <w:sz w:val="21"/>
                <w:szCs w:val="21"/>
              </w:rPr>
            </w:pPr>
            <w:r>
              <w:rPr>
                <w:color w:val="auto"/>
                <w:sz w:val="21"/>
              </w:rPr>
              <w:t>Staff costs</w:t>
            </w:r>
          </w:p>
          <w:p w14:paraId="065637A3" w14:textId="3F8BCC4E" w:rsidR="00A81C95" w:rsidRPr="005D3D51" w:rsidRDefault="00A81C95" w:rsidP="00A81C95">
            <w:pPr>
              <w:pStyle w:val="Default"/>
              <w:tabs>
                <w:tab w:val="left" w:pos="284"/>
                <w:tab w:val="left" w:pos="567"/>
                <w:tab w:val="left" w:pos="1127"/>
              </w:tabs>
              <w:spacing w:before="60"/>
              <w:ind w:left="568"/>
              <w:rPr>
                <w:color w:val="auto"/>
                <w:sz w:val="21"/>
                <w:szCs w:val="21"/>
              </w:rPr>
            </w:pPr>
            <w:r>
              <w:rPr>
                <w:color w:val="auto"/>
                <w:sz w:val="21"/>
              </w:rPr>
              <w:t>Please list all the persons who will be working in the project. In the case of employees, please also indicate their position, the</w:t>
            </w:r>
            <w:r w:rsidR="00C90520">
              <w:rPr>
                <w:color w:val="auto"/>
                <w:sz w:val="21"/>
              </w:rPr>
              <w:t xml:space="preserve">ir working time as agreed in their employment contract </w:t>
            </w:r>
            <w:r>
              <w:rPr>
                <w:color w:val="auto"/>
                <w:sz w:val="21"/>
              </w:rPr>
              <w:t>and the proportion of this working time that is to be spent in the project.</w:t>
            </w:r>
          </w:p>
          <w:p w14:paraId="0CDA4FF0" w14:textId="2D1610C4" w:rsidR="00A81C95" w:rsidRPr="005D3D51" w:rsidRDefault="00A81C95" w:rsidP="00A81C95">
            <w:pPr>
              <w:pStyle w:val="Default"/>
              <w:tabs>
                <w:tab w:val="left" w:pos="284"/>
                <w:tab w:val="left" w:pos="567"/>
                <w:tab w:val="left" w:pos="1127"/>
              </w:tabs>
              <w:spacing w:before="60"/>
              <w:ind w:left="568"/>
              <w:rPr>
                <w:color w:val="auto"/>
                <w:sz w:val="21"/>
                <w:szCs w:val="21"/>
              </w:rPr>
            </w:pPr>
            <w:r>
              <w:rPr>
                <w:color w:val="auto"/>
                <w:sz w:val="21"/>
              </w:rPr>
              <w:lastRenderedPageBreak/>
              <w:t>Staff costs include all salaries including obligatory social insurance contributions. Salary components required by local law can be financed. Bonus payments are not eligible for funding.</w:t>
            </w:r>
          </w:p>
          <w:p w14:paraId="0401591A" w14:textId="77777777" w:rsidR="00835C94" w:rsidRPr="00835C94" w:rsidRDefault="00835C94" w:rsidP="00835C94">
            <w:pPr>
              <w:pStyle w:val="Default"/>
              <w:tabs>
                <w:tab w:val="left" w:pos="284"/>
                <w:tab w:val="left" w:pos="567"/>
                <w:tab w:val="left" w:pos="1127"/>
              </w:tabs>
              <w:spacing w:before="60"/>
              <w:ind w:left="568"/>
              <w:rPr>
                <w:color w:val="auto"/>
                <w:sz w:val="21"/>
                <w:szCs w:val="21"/>
              </w:rPr>
            </w:pPr>
            <w:r>
              <w:rPr>
                <w:sz w:val="21"/>
                <w:szCs w:val="21"/>
                <w:lang w:val="en-US"/>
              </w:rPr>
              <w:t xml:space="preserve">Staff costs also include </w:t>
            </w:r>
            <w:r>
              <w:rPr>
                <w:b/>
                <w:bCs/>
                <w:sz w:val="21"/>
                <w:szCs w:val="21"/>
                <w:lang w:val="en-US"/>
              </w:rPr>
              <w:t>staff training costs</w:t>
            </w:r>
            <w:r>
              <w:rPr>
                <w:sz w:val="21"/>
                <w:szCs w:val="21"/>
                <w:lang w:val="en-US"/>
              </w:rPr>
              <w:t xml:space="preserve"> as well as any </w:t>
            </w:r>
            <w:r>
              <w:rPr>
                <w:b/>
                <w:bCs/>
                <w:sz w:val="21"/>
                <w:szCs w:val="21"/>
                <w:lang w:val="en-US"/>
              </w:rPr>
              <w:t>honoraria</w:t>
            </w:r>
            <w:r>
              <w:rPr>
                <w:sz w:val="21"/>
                <w:szCs w:val="21"/>
                <w:lang w:val="en-US"/>
              </w:rPr>
              <w:t>.</w:t>
            </w:r>
          </w:p>
          <w:p w14:paraId="6789E25C" w14:textId="15D769C5" w:rsidR="00A81C95" w:rsidRPr="00835C94" w:rsidRDefault="00A81C95" w:rsidP="00A81C95">
            <w:pPr>
              <w:pStyle w:val="Default"/>
              <w:tabs>
                <w:tab w:val="left" w:pos="284"/>
                <w:tab w:val="left" w:pos="567"/>
                <w:tab w:val="left" w:pos="1127"/>
              </w:tabs>
              <w:spacing w:before="60"/>
              <w:ind w:left="568"/>
              <w:rPr>
                <w:color w:val="auto"/>
                <w:sz w:val="21"/>
                <w:lang w:val="en-US"/>
              </w:rPr>
            </w:pPr>
          </w:p>
          <w:p w14:paraId="6CB5BD41" w14:textId="77777777" w:rsidR="00587859" w:rsidRPr="005D3D51" w:rsidRDefault="00587859" w:rsidP="00A81C95">
            <w:pPr>
              <w:pStyle w:val="Default"/>
              <w:tabs>
                <w:tab w:val="left" w:pos="284"/>
                <w:tab w:val="left" w:pos="567"/>
                <w:tab w:val="left" w:pos="1127"/>
              </w:tabs>
              <w:spacing w:before="60"/>
              <w:ind w:left="568"/>
              <w:rPr>
                <w:color w:val="auto"/>
                <w:sz w:val="21"/>
                <w:szCs w:val="21"/>
              </w:rPr>
            </w:pPr>
          </w:p>
          <w:p w14:paraId="2F47CE3E" w14:textId="77777777" w:rsidR="00A81C95" w:rsidRPr="005D3D51" w:rsidRDefault="00A81C95" w:rsidP="00FC574D">
            <w:pPr>
              <w:pStyle w:val="Default"/>
              <w:numPr>
                <w:ilvl w:val="0"/>
                <w:numId w:val="4"/>
              </w:numPr>
              <w:tabs>
                <w:tab w:val="left" w:pos="284"/>
                <w:tab w:val="left" w:pos="567"/>
                <w:tab w:val="left" w:pos="1127"/>
              </w:tabs>
              <w:spacing w:before="60"/>
              <w:ind w:left="568" w:hanging="284"/>
              <w:rPr>
                <w:color w:val="auto"/>
                <w:sz w:val="21"/>
                <w:szCs w:val="21"/>
              </w:rPr>
            </w:pPr>
            <w:r>
              <w:rPr>
                <w:color w:val="auto"/>
                <w:sz w:val="21"/>
              </w:rPr>
              <w:t>Project activities</w:t>
            </w:r>
          </w:p>
          <w:p w14:paraId="3D46A9AD" w14:textId="791E27AB" w:rsidR="00A81C95" w:rsidRPr="005D3D51" w:rsidRDefault="00E7371E" w:rsidP="00561AE5">
            <w:pPr>
              <w:pStyle w:val="Default"/>
              <w:tabs>
                <w:tab w:val="left" w:pos="1127"/>
              </w:tabs>
              <w:ind w:left="567"/>
              <w:rPr>
                <w:color w:val="auto"/>
                <w:sz w:val="21"/>
                <w:szCs w:val="21"/>
              </w:rPr>
            </w:pPr>
            <w:r>
              <w:rPr>
                <w:color w:val="auto"/>
                <w:sz w:val="21"/>
              </w:rPr>
              <w:t xml:space="preserve">Project activities may vary greatly depending on the type of project. Typical examples are expenditures associated with workshops and seminars (room hire, educational materials, seminar catering / meals, but </w:t>
            </w:r>
            <w:r>
              <w:rPr>
                <w:color w:val="auto"/>
                <w:sz w:val="21"/>
                <w:u w:val="single"/>
              </w:rPr>
              <w:t>not</w:t>
            </w:r>
            <w:r>
              <w:rPr>
                <w:color w:val="auto"/>
                <w:sz w:val="21"/>
              </w:rPr>
              <w:t xml:space="preserve"> fees for trainers, instructors, etc.), seeds, medication, tools for the target groups and staff travelling expenses (transportation, accommodation, per diem). Where possible, please explain how the expenditures were calculated. The cost of catering/meals for internal working meetings is not eligible for funding.</w:t>
            </w:r>
          </w:p>
          <w:p w14:paraId="5AE816A1" w14:textId="77777777" w:rsidR="00A81C95" w:rsidRPr="005D3D51" w:rsidRDefault="00A81C95" w:rsidP="00FC574D">
            <w:pPr>
              <w:pStyle w:val="Default"/>
              <w:numPr>
                <w:ilvl w:val="0"/>
                <w:numId w:val="4"/>
              </w:numPr>
              <w:tabs>
                <w:tab w:val="left" w:pos="284"/>
                <w:tab w:val="left" w:pos="567"/>
                <w:tab w:val="left" w:pos="1127"/>
              </w:tabs>
              <w:spacing w:before="60"/>
              <w:ind w:left="568" w:hanging="284"/>
              <w:rPr>
                <w:color w:val="auto"/>
                <w:sz w:val="21"/>
                <w:szCs w:val="21"/>
              </w:rPr>
            </w:pPr>
            <w:r>
              <w:rPr>
                <w:color w:val="auto"/>
                <w:sz w:val="21"/>
              </w:rPr>
              <w:t>Project administration</w:t>
            </w:r>
          </w:p>
          <w:p w14:paraId="396DDA60" w14:textId="01CAFA3F" w:rsidR="00C345E5" w:rsidRPr="005D3D51" w:rsidRDefault="001A5F02" w:rsidP="00FC574D">
            <w:pPr>
              <w:pStyle w:val="Default"/>
              <w:tabs>
                <w:tab w:val="left" w:pos="1127"/>
              </w:tabs>
              <w:ind w:left="567"/>
              <w:rPr>
                <w:color w:val="auto"/>
                <w:sz w:val="21"/>
                <w:szCs w:val="21"/>
              </w:rPr>
            </w:pPr>
            <w:r>
              <w:rPr>
                <w:color w:val="auto"/>
                <w:sz w:val="21"/>
              </w:rPr>
              <w:t>Here, the focus is on the administration costs that are directly attributable to the project. These include office rent, building maintenance, vehicle maintenance, communication costs (telephone, internet), insurance and office supplies.</w:t>
            </w:r>
          </w:p>
          <w:p w14:paraId="22238D10" w14:textId="14E4CBED" w:rsidR="00A81C95" w:rsidRPr="005D3D51" w:rsidRDefault="00C345E5" w:rsidP="00C345E5">
            <w:pPr>
              <w:pStyle w:val="Default"/>
              <w:tabs>
                <w:tab w:val="left" w:pos="1127"/>
              </w:tabs>
              <w:ind w:left="567"/>
              <w:rPr>
                <w:color w:val="auto"/>
                <w:sz w:val="21"/>
                <w:szCs w:val="21"/>
              </w:rPr>
            </w:pPr>
            <w:r>
              <w:rPr>
                <w:color w:val="auto"/>
                <w:sz w:val="21"/>
              </w:rPr>
              <w:t>Please note that lump-sum administrative costs are not eligible for funding; proof of the total expenditures and the actual (pro rata) funding is necessary.</w:t>
            </w:r>
          </w:p>
          <w:p w14:paraId="48E762B3" w14:textId="40861D47" w:rsidR="00A81C95" w:rsidRPr="005D3D51" w:rsidRDefault="00E7371E" w:rsidP="00FC574D">
            <w:pPr>
              <w:pStyle w:val="Default"/>
              <w:numPr>
                <w:ilvl w:val="0"/>
                <w:numId w:val="4"/>
              </w:numPr>
              <w:tabs>
                <w:tab w:val="left" w:pos="284"/>
                <w:tab w:val="left" w:pos="567"/>
              </w:tabs>
              <w:spacing w:before="60"/>
              <w:ind w:left="568" w:hanging="284"/>
              <w:rPr>
                <w:color w:val="auto"/>
                <w:sz w:val="21"/>
                <w:szCs w:val="21"/>
              </w:rPr>
            </w:pPr>
            <w:r>
              <w:rPr>
                <w:color w:val="auto"/>
                <w:sz w:val="21"/>
              </w:rPr>
              <w:t>External evaluation</w:t>
            </w:r>
          </w:p>
          <w:p w14:paraId="2175FE4B" w14:textId="46A941A9" w:rsidR="00B02BAD" w:rsidRPr="005D3D51" w:rsidRDefault="00B02BAD" w:rsidP="00B02BAD">
            <w:pPr>
              <w:pStyle w:val="Default"/>
              <w:tabs>
                <w:tab w:val="left" w:pos="284"/>
                <w:tab w:val="left" w:pos="567"/>
              </w:tabs>
              <w:spacing w:before="60"/>
              <w:rPr>
                <w:color w:val="auto"/>
                <w:sz w:val="21"/>
                <w:szCs w:val="21"/>
              </w:rPr>
            </w:pPr>
          </w:p>
          <w:p w14:paraId="259E9391" w14:textId="2929B6B5" w:rsidR="00570763" w:rsidRPr="005D3D51" w:rsidRDefault="00570763" w:rsidP="00B02BAD">
            <w:pPr>
              <w:pStyle w:val="Default"/>
              <w:tabs>
                <w:tab w:val="left" w:pos="284"/>
                <w:tab w:val="left" w:pos="567"/>
              </w:tabs>
              <w:spacing w:before="60"/>
              <w:rPr>
                <w:color w:val="auto"/>
                <w:sz w:val="21"/>
                <w:szCs w:val="21"/>
              </w:rPr>
            </w:pPr>
            <w:r>
              <w:rPr>
                <w:color w:val="auto"/>
                <w:sz w:val="21"/>
              </w:rPr>
              <w:t xml:space="preserve">Three bids must be obtained and a contract awarding note issued to justify all purchases/procurements/commissions exceeding EUR 1,000 </w:t>
            </w:r>
            <w:r w:rsidR="0010120E">
              <w:rPr>
                <w:color w:val="auto"/>
                <w:sz w:val="21"/>
              </w:rPr>
              <w:t xml:space="preserve">(excl. VAT) </w:t>
            </w:r>
            <w:r>
              <w:rPr>
                <w:color w:val="auto"/>
                <w:sz w:val="21"/>
              </w:rPr>
              <w:t>in each of the six cost categories outlined above (e.g. fee contracts under staff costs, IT equipment under non-recurrent expenditures).</w:t>
            </w:r>
          </w:p>
          <w:p w14:paraId="56DB1214" w14:textId="349C8B93" w:rsidR="00143C52" w:rsidRPr="005D3D51" w:rsidRDefault="00BE3F2E" w:rsidP="00B02BAD">
            <w:pPr>
              <w:pStyle w:val="Default"/>
              <w:tabs>
                <w:tab w:val="left" w:pos="284"/>
                <w:tab w:val="left" w:pos="567"/>
              </w:tabs>
              <w:spacing w:before="60"/>
              <w:rPr>
                <w:color w:val="auto"/>
                <w:sz w:val="21"/>
                <w:szCs w:val="21"/>
              </w:rPr>
            </w:pPr>
            <w:r>
              <w:rPr>
                <w:color w:val="auto"/>
                <w:sz w:val="21"/>
              </w:rPr>
              <w:t xml:space="preserve">We can only recognise expenditures </w:t>
            </w:r>
            <w:r w:rsidR="00853779">
              <w:rPr>
                <w:color w:val="auto"/>
                <w:sz w:val="21"/>
              </w:rPr>
              <w:t>with a corresponding cash flow</w:t>
            </w:r>
            <w:r>
              <w:rPr>
                <w:color w:val="auto"/>
                <w:sz w:val="21"/>
              </w:rPr>
              <w:t>. Imputed cost</w:t>
            </w:r>
            <w:r w:rsidR="00EE3733">
              <w:rPr>
                <w:color w:val="auto"/>
                <w:sz w:val="21"/>
              </w:rPr>
              <w:t>s</w:t>
            </w:r>
            <w:r>
              <w:rPr>
                <w:color w:val="auto"/>
                <w:sz w:val="21"/>
              </w:rPr>
              <w:t xml:space="preserve"> such as </w:t>
            </w:r>
            <w:r w:rsidR="003B591A">
              <w:rPr>
                <w:color w:val="auto"/>
                <w:sz w:val="21"/>
              </w:rPr>
              <w:t>depreciation</w:t>
            </w:r>
            <w:r>
              <w:rPr>
                <w:color w:val="auto"/>
                <w:sz w:val="21"/>
              </w:rPr>
              <w:t xml:space="preserve"> or rental charges for the use of the organisation’s own premises or vehicles cannot be in</w:t>
            </w:r>
            <w:r w:rsidR="003B591A">
              <w:rPr>
                <w:color w:val="auto"/>
                <w:sz w:val="21"/>
              </w:rPr>
              <w:t xml:space="preserve">cluded in </w:t>
            </w:r>
            <w:r w:rsidR="00853779">
              <w:rPr>
                <w:color w:val="auto"/>
                <w:sz w:val="21"/>
              </w:rPr>
              <w:t xml:space="preserve">the </w:t>
            </w:r>
            <w:r w:rsidR="003B591A">
              <w:rPr>
                <w:color w:val="auto"/>
                <w:sz w:val="21"/>
              </w:rPr>
              <w:t>project expenditure</w:t>
            </w:r>
            <w:r w:rsidR="00853779">
              <w:rPr>
                <w:color w:val="auto"/>
                <w:sz w:val="21"/>
              </w:rPr>
              <w:t>s</w:t>
            </w:r>
            <w:r>
              <w:rPr>
                <w:color w:val="auto"/>
                <w:sz w:val="21"/>
              </w:rPr>
              <w:t>.</w:t>
            </w:r>
          </w:p>
          <w:p w14:paraId="6648D5FF" w14:textId="4748D811" w:rsidR="00B02BAD" w:rsidRPr="00360E4B" w:rsidRDefault="00B02BAD" w:rsidP="00B02BAD">
            <w:pPr>
              <w:pStyle w:val="Default"/>
              <w:tabs>
                <w:tab w:val="left" w:pos="284"/>
                <w:tab w:val="left" w:pos="567"/>
              </w:tabs>
              <w:spacing w:before="60"/>
              <w:rPr>
                <w:color w:val="auto"/>
                <w:sz w:val="21"/>
                <w:szCs w:val="21"/>
              </w:rPr>
            </w:pPr>
            <w:r>
              <w:rPr>
                <w:color w:val="auto"/>
                <w:sz w:val="21"/>
              </w:rPr>
              <w:t>Please note that all expenditures shown in the budget must be related to the project. Institutional expenditures purely for the purpose of the institution and not related to the project (e.g. committee work) are not eligible for funding</w:t>
            </w:r>
            <w:r w:rsidRPr="00360E4B">
              <w:rPr>
                <w:color w:val="auto"/>
                <w:sz w:val="21"/>
              </w:rPr>
              <w:t xml:space="preserve">. </w:t>
            </w:r>
          </w:p>
          <w:p w14:paraId="6FC2363B" w14:textId="4C67BEEC" w:rsidR="00D85100" w:rsidRPr="005D3D51" w:rsidRDefault="00D85100" w:rsidP="00C93920">
            <w:pPr>
              <w:pStyle w:val="Default"/>
              <w:rPr>
                <w:sz w:val="21"/>
                <w:szCs w:val="21"/>
              </w:rPr>
            </w:pPr>
          </w:p>
        </w:tc>
      </w:tr>
    </w:tbl>
    <w:p w14:paraId="6EDC544E" w14:textId="77D56B28" w:rsidR="00143F4C" w:rsidRPr="00C93920" w:rsidRDefault="00143F4C" w:rsidP="00B70B31">
      <w:pPr>
        <w:rPr>
          <w:rFonts w:eastAsiaTheme="minorEastAsia" w:cs="MetaBookLF"/>
          <w:color w:val="000000"/>
          <w:sz w:val="21"/>
          <w:szCs w:val="21"/>
        </w:rPr>
      </w:pPr>
    </w:p>
    <w:sectPr w:rsidR="00143F4C" w:rsidRPr="00C93920" w:rsidSect="00EE4BE8">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3DF2" w14:textId="77777777" w:rsidR="0063467F" w:rsidRDefault="0063467F" w:rsidP="004F6F1A">
      <w:pPr>
        <w:spacing w:line="240" w:lineRule="auto"/>
      </w:pPr>
      <w:r>
        <w:separator/>
      </w:r>
    </w:p>
  </w:endnote>
  <w:endnote w:type="continuationSeparator" w:id="0">
    <w:p w14:paraId="66BA774F" w14:textId="77777777" w:rsidR="0063467F" w:rsidRDefault="0063467F"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7"/>
      <w:gridCol w:w="1148"/>
      <w:gridCol w:w="650"/>
    </w:tblGrid>
    <w:tr w:rsidR="00DC259C" w:rsidRPr="00800DF6" w14:paraId="1D72A818" w14:textId="77777777" w:rsidTr="007D02F5">
      <w:tc>
        <w:tcPr>
          <w:tcW w:w="7807" w:type="dxa"/>
        </w:tcPr>
        <w:p w14:paraId="35A1FA6F" w14:textId="21A42BB4" w:rsidR="00CE2B63" w:rsidRPr="00800DF6" w:rsidRDefault="00CE2B63" w:rsidP="007D02F5">
          <w:pPr>
            <w:pStyle w:val="Fuzeile"/>
            <w:tabs>
              <w:tab w:val="clear" w:pos="4536"/>
            </w:tabs>
            <w:rPr>
              <w:szCs w:val="16"/>
            </w:rPr>
          </w:pPr>
        </w:p>
      </w:tc>
      <w:tc>
        <w:tcPr>
          <w:tcW w:w="1148" w:type="dxa"/>
        </w:tcPr>
        <w:p w14:paraId="22113C2F" w14:textId="32DB8323" w:rsidR="00CE2B63" w:rsidRPr="00800DF6" w:rsidRDefault="00CE2B63" w:rsidP="00AC2509">
          <w:pPr>
            <w:pStyle w:val="Fuzeile"/>
            <w:jc w:val="right"/>
            <w:rPr>
              <w:szCs w:val="16"/>
            </w:rPr>
          </w:pPr>
        </w:p>
      </w:tc>
      <w:tc>
        <w:tcPr>
          <w:tcW w:w="650" w:type="dxa"/>
        </w:tcPr>
        <w:p w14:paraId="0A3E91F9" w14:textId="77777777" w:rsidR="00CE2B63" w:rsidRPr="00800DF6" w:rsidRDefault="003D6DB1" w:rsidP="00AC2509">
          <w:pPr>
            <w:pStyle w:val="Fuzeile"/>
            <w:jc w:val="right"/>
            <w:rPr>
              <w:szCs w:val="16"/>
            </w:rPr>
          </w:pPr>
          <w:r w:rsidRPr="00800DF6">
            <w:fldChar w:fldCharType="begin"/>
          </w:r>
          <w:r w:rsidR="00AC2509" w:rsidRPr="00800DF6">
            <w:instrText xml:space="preserve"> PAGE  \* MERGEFORMAT </w:instrText>
          </w:r>
          <w:r w:rsidRPr="00800DF6">
            <w:fldChar w:fldCharType="separate"/>
          </w:r>
          <w:r w:rsidR="00F71937">
            <w:t>1</w:t>
          </w:r>
          <w:r w:rsidRPr="00800DF6">
            <w:fldChar w:fldCharType="end"/>
          </w:r>
          <w:r>
            <w:t>/</w:t>
          </w:r>
          <w:fldSimple w:instr=" NUMPAGES   \* MERGEFORMAT ">
            <w:r w:rsidR="00F71937">
              <w:t>1</w:t>
            </w:r>
          </w:fldSimple>
        </w:p>
      </w:tc>
    </w:tr>
  </w:tbl>
  <w:p w14:paraId="52A761C1" w14:textId="77777777" w:rsidR="004F6F1A" w:rsidRPr="00F73FFC" w:rsidRDefault="004F6F1A" w:rsidP="00211349">
    <w:pPr>
      <w:pStyle w:val="Fuzeile"/>
      <w:spacing w:line="40" w:lineRule="exac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22A0" w14:textId="77777777" w:rsidR="0063467F" w:rsidRDefault="0063467F" w:rsidP="004F6F1A">
      <w:pPr>
        <w:spacing w:line="240" w:lineRule="auto"/>
      </w:pPr>
      <w:r>
        <w:separator/>
      </w:r>
    </w:p>
  </w:footnote>
  <w:footnote w:type="continuationSeparator" w:id="0">
    <w:p w14:paraId="0470ACE9" w14:textId="77777777" w:rsidR="0063467F" w:rsidRDefault="0063467F" w:rsidP="004F6F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22D"/>
    <w:multiLevelType w:val="hybridMultilevel"/>
    <w:tmpl w:val="2D8A5D3C"/>
    <w:lvl w:ilvl="0" w:tplc="48F2E33E">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222AEF"/>
    <w:multiLevelType w:val="hybridMultilevel"/>
    <w:tmpl w:val="843439B0"/>
    <w:lvl w:ilvl="0" w:tplc="7E561F22">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42D93D2F"/>
    <w:multiLevelType w:val="hybridMultilevel"/>
    <w:tmpl w:val="F6FA5B42"/>
    <w:lvl w:ilvl="0" w:tplc="8A58DE5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3B63D3"/>
    <w:multiLevelType w:val="hybridMultilevel"/>
    <w:tmpl w:val="C3F063C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59974805"/>
    <w:multiLevelType w:val="hybridMultilevel"/>
    <w:tmpl w:val="65D4F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1327C"/>
    <w:multiLevelType w:val="hybridMultilevel"/>
    <w:tmpl w:val="E750ADD4"/>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646249DE"/>
    <w:multiLevelType w:val="hybridMultilevel"/>
    <w:tmpl w:val="EF80B6EE"/>
    <w:lvl w:ilvl="0" w:tplc="2886190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6E810AEC"/>
    <w:multiLevelType w:val="hybridMultilevel"/>
    <w:tmpl w:val="5AF038FE"/>
    <w:lvl w:ilvl="0" w:tplc="451EEF64">
      <w:start w:val="6"/>
      <w:numFmt w:val="decimal"/>
      <w:lvlText w:val="%1."/>
      <w:lvlJc w:val="left"/>
      <w:pPr>
        <w:ind w:left="501" w:hanging="360"/>
      </w:pPr>
      <w:rPr>
        <w:rFonts w:hint="default"/>
        <w:sz w:val="28"/>
        <w:szCs w:val="28"/>
      </w:rPr>
    </w:lvl>
    <w:lvl w:ilvl="1" w:tplc="04070019" w:tentative="1">
      <w:start w:val="1"/>
      <w:numFmt w:val="lowerLetter"/>
      <w:lvlText w:val="%2."/>
      <w:lvlJc w:val="left"/>
      <w:pPr>
        <w:ind w:left="-7208" w:hanging="360"/>
      </w:pPr>
    </w:lvl>
    <w:lvl w:ilvl="2" w:tplc="0407001B" w:tentative="1">
      <w:start w:val="1"/>
      <w:numFmt w:val="lowerRoman"/>
      <w:lvlText w:val="%3."/>
      <w:lvlJc w:val="right"/>
      <w:pPr>
        <w:ind w:left="-6488" w:hanging="180"/>
      </w:pPr>
    </w:lvl>
    <w:lvl w:ilvl="3" w:tplc="0407000F" w:tentative="1">
      <w:start w:val="1"/>
      <w:numFmt w:val="decimal"/>
      <w:lvlText w:val="%4."/>
      <w:lvlJc w:val="left"/>
      <w:pPr>
        <w:ind w:left="-5768" w:hanging="360"/>
      </w:pPr>
    </w:lvl>
    <w:lvl w:ilvl="4" w:tplc="04070019" w:tentative="1">
      <w:start w:val="1"/>
      <w:numFmt w:val="lowerLetter"/>
      <w:lvlText w:val="%5."/>
      <w:lvlJc w:val="left"/>
      <w:pPr>
        <w:ind w:left="-504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3608" w:hanging="360"/>
      </w:pPr>
    </w:lvl>
    <w:lvl w:ilvl="7" w:tplc="04070019" w:tentative="1">
      <w:start w:val="1"/>
      <w:numFmt w:val="lowerLetter"/>
      <w:lvlText w:val="%8."/>
      <w:lvlJc w:val="left"/>
      <w:pPr>
        <w:ind w:left="-2888" w:hanging="360"/>
      </w:pPr>
    </w:lvl>
    <w:lvl w:ilvl="8" w:tplc="0407001B" w:tentative="1">
      <w:start w:val="1"/>
      <w:numFmt w:val="lowerRoman"/>
      <w:lvlText w:val="%9."/>
      <w:lvlJc w:val="right"/>
      <w:pPr>
        <w:ind w:left="-2168" w:hanging="180"/>
      </w:pPr>
    </w:lvl>
  </w:abstractNum>
  <w:abstractNum w:abstractNumId="8" w15:restartNumberingAfterBreak="0">
    <w:nsid w:val="767B1EA9"/>
    <w:multiLevelType w:val="hybridMultilevel"/>
    <w:tmpl w:val="1376196A"/>
    <w:lvl w:ilvl="0" w:tplc="6A8628A2">
      <w:numFmt w:val="bullet"/>
      <w:lvlText w:val="-"/>
      <w:lvlJc w:val="left"/>
      <w:pPr>
        <w:ind w:left="720" w:hanging="360"/>
      </w:pPr>
      <w:rPr>
        <w:rFonts w:ascii="MetaBookLF" w:eastAsiaTheme="minorHAnsi" w:hAnsi="MetaBookLF"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11481E"/>
    <w:multiLevelType w:val="multilevel"/>
    <w:tmpl w:val="286E6D40"/>
    <w:lvl w:ilvl="0">
      <w:start w:val="1"/>
      <w:numFmt w:val="decimal"/>
      <w:lvlText w:val="%1."/>
      <w:lvlJc w:val="left"/>
      <w:pPr>
        <w:ind w:left="1004" w:hanging="360"/>
      </w:pPr>
    </w:lvl>
    <w:lvl w:ilvl="1">
      <w:start w:val="1"/>
      <w:numFmt w:val="decimal"/>
      <w:isLgl/>
      <w:lvlText w:val="%1.%2"/>
      <w:lvlJc w:val="left"/>
      <w:pPr>
        <w:ind w:left="1199" w:hanging="55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num w:numId="1" w16cid:durableId="1975327982">
    <w:abstractNumId w:val="8"/>
  </w:num>
  <w:num w:numId="2" w16cid:durableId="462772546">
    <w:abstractNumId w:val="4"/>
  </w:num>
  <w:num w:numId="3" w16cid:durableId="44257989">
    <w:abstractNumId w:val="2"/>
  </w:num>
  <w:num w:numId="4" w16cid:durableId="55202276">
    <w:abstractNumId w:val="9"/>
  </w:num>
  <w:num w:numId="5" w16cid:durableId="677198702">
    <w:abstractNumId w:val="7"/>
  </w:num>
  <w:num w:numId="6" w16cid:durableId="2084641237">
    <w:abstractNumId w:val="3"/>
  </w:num>
  <w:num w:numId="7" w16cid:durableId="689524032">
    <w:abstractNumId w:val="6"/>
  </w:num>
  <w:num w:numId="8" w16cid:durableId="247930460">
    <w:abstractNumId w:val="5"/>
  </w:num>
  <w:num w:numId="9" w16cid:durableId="432214425">
    <w:abstractNumId w:val="1"/>
  </w:num>
  <w:num w:numId="10" w16cid:durableId="148643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6A"/>
    <w:rsid w:val="00003BA2"/>
    <w:rsid w:val="00022CF2"/>
    <w:rsid w:val="00071833"/>
    <w:rsid w:val="0008196A"/>
    <w:rsid w:val="00084316"/>
    <w:rsid w:val="00086ACB"/>
    <w:rsid w:val="000A4BAF"/>
    <w:rsid w:val="000B4075"/>
    <w:rsid w:val="000D7FAC"/>
    <w:rsid w:val="0010120E"/>
    <w:rsid w:val="001019B3"/>
    <w:rsid w:val="00114180"/>
    <w:rsid w:val="00125EB4"/>
    <w:rsid w:val="00140AD4"/>
    <w:rsid w:val="00143C52"/>
    <w:rsid w:val="00143F4C"/>
    <w:rsid w:val="001571DC"/>
    <w:rsid w:val="00192BC4"/>
    <w:rsid w:val="001A5F02"/>
    <w:rsid w:val="001C3900"/>
    <w:rsid w:val="001D2122"/>
    <w:rsid w:val="001E7120"/>
    <w:rsid w:val="001F2F26"/>
    <w:rsid w:val="00211349"/>
    <w:rsid w:val="002150DE"/>
    <w:rsid w:val="002513CF"/>
    <w:rsid w:val="002652DF"/>
    <w:rsid w:val="00266073"/>
    <w:rsid w:val="00272112"/>
    <w:rsid w:val="0028310C"/>
    <w:rsid w:val="002A12D0"/>
    <w:rsid w:val="002C16B0"/>
    <w:rsid w:val="002D27BA"/>
    <w:rsid w:val="002F48F6"/>
    <w:rsid w:val="002F6E6A"/>
    <w:rsid w:val="00303FB5"/>
    <w:rsid w:val="00312C7F"/>
    <w:rsid w:val="00326923"/>
    <w:rsid w:val="00343952"/>
    <w:rsid w:val="00360E4B"/>
    <w:rsid w:val="00380F22"/>
    <w:rsid w:val="0038438A"/>
    <w:rsid w:val="00387BCE"/>
    <w:rsid w:val="003B1674"/>
    <w:rsid w:val="003B591A"/>
    <w:rsid w:val="003C2AF5"/>
    <w:rsid w:val="003D6DB1"/>
    <w:rsid w:val="00402F4D"/>
    <w:rsid w:val="004374DB"/>
    <w:rsid w:val="00464D37"/>
    <w:rsid w:val="00473B03"/>
    <w:rsid w:val="004E0514"/>
    <w:rsid w:val="004F6F1A"/>
    <w:rsid w:val="00504E4B"/>
    <w:rsid w:val="00527224"/>
    <w:rsid w:val="005356CC"/>
    <w:rsid w:val="00540C11"/>
    <w:rsid w:val="00540D27"/>
    <w:rsid w:val="00544261"/>
    <w:rsid w:val="00561AE5"/>
    <w:rsid w:val="00570763"/>
    <w:rsid w:val="00574CCB"/>
    <w:rsid w:val="00587859"/>
    <w:rsid w:val="00593F73"/>
    <w:rsid w:val="005B0BD6"/>
    <w:rsid w:val="005C3BBD"/>
    <w:rsid w:val="005D31C7"/>
    <w:rsid w:val="005D3D51"/>
    <w:rsid w:val="005D53CD"/>
    <w:rsid w:val="005E4FD4"/>
    <w:rsid w:val="00601342"/>
    <w:rsid w:val="00603083"/>
    <w:rsid w:val="0063467F"/>
    <w:rsid w:val="00641140"/>
    <w:rsid w:val="00662750"/>
    <w:rsid w:val="00667CAE"/>
    <w:rsid w:val="006A099C"/>
    <w:rsid w:val="006B25F6"/>
    <w:rsid w:val="006C01F3"/>
    <w:rsid w:val="006D62DB"/>
    <w:rsid w:val="006F1284"/>
    <w:rsid w:val="007112FD"/>
    <w:rsid w:val="00737BD4"/>
    <w:rsid w:val="00767466"/>
    <w:rsid w:val="0077766F"/>
    <w:rsid w:val="00783E7D"/>
    <w:rsid w:val="00792FE1"/>
    <w:rsid w:val="00793DEA"/>
    <w:rsid w:val="007A1EA6"/>
    <w:rsid w:val="007D02F5"/>
    <w:rsid w:val="007D1545"/>
    <w:rsid w:val="00800DF6"/>
    <w:rsid w:val="00807306"/>
    <w:rsid w:val="00822EC0"/>
    <w:rsid w:val="00833CDC"/>
    <w:rsid w:val="00835C94"/>
    <w:rsid w:val="008458F2"/>
    <w:rsid w:val="00853779"/>
    <w:rsid w:val="00854971"/>
    <w:rsid w:val="008A3A20"/>
    <w:rsid w:val="008B1141"/>
    <w:rsid w:val="008C1E23"/>
    <w:rsid w:val="008C75AD"/>
    <w:rsid w:val="008F7281"/>
    <w:rsid w:val="009164C4"/>
    <w:rsid w:val="0096664A"/>
    <w:rsid w:val="00994245"/>
    <w:rsid w:val="009A10F2"/>
    <w:rsid w:val="009C06FB"/>
    <w:rsid w:val="00A10982"/>
    <w:rsid w:val="00A1329D"/>
    <w:rsid w:val="00A157EF"/>
    <w:rsid w:val="00A21A08"/>
    <w:rsid w:val="00A30A15"/>
    <w:rsid w:val="00A507A1"/>
    <w:rsid w:val="00A510A4"/>
    <w:rsid w:val="00A6293A"/>
    <w:rsid w:val="00A81C95"/>
    <w:rsid w:val="00A87D59"/>
    <w:rsid w:val="00AA6E6C"/>
    <w:rsid w:val="00AC1101"/>
    <w:rsid w:val="00AC2509"/>
    <w:rsid w:val="00AC3BE2"/>
    <w:rsid w:val="00B02BAD"/>
    <w:rsid w:val="00B0645B"/>
    <w:rsid w:val="00B30EAF"/>
    <w:rsid w:val="00B52400"/>
    <w:rsid w:val="00B70B31"/>
    <w:rsid w:val="00B7662F"/>
    <w:rsid w:val="00B92D5D"/>
    <w:rsid w:val="00BA48DA"/>
    <w:rsid w:val="00BA53B6"/>
    <w:rsid w:val="00BB5280"/>
    <w:rsid w:val="00BB5F15"/>
    <w:rsid w:val="00BC5BDA"/>
    <w:rsid w:val="00BD37FB"/>
    <w:rsid w:val="00BE02E6"/>
    <w:rsid w:val="00BE3F2E"/>
    <w:rsid w:val="00BF3B84"/>
    <w:rsid w:val="00BF6E76"/>
    <w:rsid w:val="00BF6EF1"/>
    <w:rsid w:val="00C345E5"/>
    <w:rsid w:val="00C5073B"/>
    <w:rsid w:val="00C56955"/>
    <w:rsid w:val="00C749CD"/>
    <w:rsid w:val="00C90520"/>
    <w:rsid w:val="00C93920"/>
    <w:rsid w:val="00C97D16"/>
    <w:rsid w:val="00CA7B28"/>
    <w:rsid w:val="00CD3AFB"/>
    <w:rsid w:val="00CE2B63"/>
    <w:rsid w:val="00D07EFE"/>
    <w:rsid w:val="00D157A4"/>
    <w:rsid w:val="00D4474C"/>
    <w:rsid w:val="00D64C7B"/>
    <w:rsid w:val="00D85100"/>
    <w:rsid w:val="00D92473"/>
    <w:rsid w:val="00D931F3"/>
    <w:rsid w:val="00D94E42"/>
    <w:rsid w:val="00DA259B"/>
    <w:rsid w:val="00DC259C"/>
    <w:rsid w:val="00E01899"/>
    <w:rsid w:val="00E46C87"/>
    <w:rsid w:val="00E513CF"/>
    <w:rsid w:val="00E575C4"/>
    <w:rsid w:val="00E612A2"/>
    <w:rsid w:val="00E7249B"/>
    <w:rsid w:val="00E7371E"/>
    <w:rsid w:val="00E87E28"/>
    <w:rsid w:val="00E9694D"/>
    <w:rsid w:val="00EA7ABA"/>
    <w:rsid w:val="00EE1693"/>
    <w:rsid w:val="00EE3733"/>
    <w:rsid w:val="00EE4BE8"/>
    <w:rsid w:val="00F225DC"/>
    <w:rsid w:val="00F23AD4"/>
    <w:rsid w:val="00F27A24"/>
    <w:rsid w:val="00F32DD9"/>
    <w:rsid w:val="00F71937"/>
    <w:rsid w:val="00F73446"/>
    <w:rsid w:val="00F73FFC"/>
    <w:rsid w:val="00F7652E"/>
    <w:rsid w:val="00F81520"/>
    <w:rsid w:val="00FA10DE"/>
    <w:rsid w:val="00FA735C"/>
    <w:rsid w:val="00FB2367"/>
    <w:rsid w:val="00FB4C3A"/>
    <w:rsid w:val="00FC552B"/>
    <w:rsid w:val="00FE1B10"/>
    <w:rsid w:val="00FE4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41786"/>
  <w15:chartTrackingRefBased/>
  <w15:docId w15:val="{AD0F6B7C-D747-495B-8F39-1B7A9738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937"/>
    <w:pPr>
      <w:spacing w:after="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D07EFE"/>
    <w:pPr>
      <w:ind w:left="720"/>
      <w:contextualSpacing/>
    </w:pPr>
  </w:style>
  <w:style w:type="character" w:styleId="Kommentarzeichen">
    <w:name w:val="annotation reference"/>
    <w:basedOn w:val="Absatz-Standardschriftart"/>
    <w:semiHidden/>
    <w:rsid w:val="00A81C95"/>
    <w:rPr>
      <w:sz w:val="16"/>
      <w:szCs w:val="16"/>
    </w:rPr>
  </w:style>
  <w:style w:type="paragraph" w:styleId="Kommentartext">
    <w:name w:val="annotation text"/>
    <w:basedOn w:val="Standard"/>
    <w:link w:val="KommentartextZchn"/>
    <w:semiHidden/>
    <w:rsid w:val="00A81C95"/>
    <w:pPr>
      <w:spacing w:line="240" w:lineRule="auto"/>
    </w:pPr>
    <w:rPr>
      <w:rFonts w:ascii="MetaBookLF" w:eastAsia="Times New Roman" w:hAnsi="MetaBookLF" w:cs="Times New Roman"/>
      <w:sz w:val="20"/>
      <w:szCs w:val="20"/>
      <w:lang w:eastAsia="de-DE"/>
    </w:rPr>
  </w:style>
  <w:style w:type="character" w:customStyle="1" w:styleId="KommentartextZchn">
    <w:name w:val="Kommentartext Zchn"/>
    <w:basedOn w:val="Absatz-Standardschriftart"/>
    <w:link w:val="Kommentartext"/>
    <w:semiHidden/>
    <w:rsid w:val="00A81C95"/>
    <w:rPr>
      <w:rFonts w:ascii="MetaBookLF" w:eastAsia="Times New Roman" w:hAnsi="MetaBookLF" w:cs="Times New Roman"/>
      <w:sz w:val="20"/>
      <w:szCs w:val="20"/>
      <w:lang w:eastAsia="de-DE"/>
    </w:rPr>
  </w:style>
  <w:style w:type="paragraph" w:customStyle="1" w:styleId="Default">
    <w:name w:val="Default"/>
    <w:locked/>
    <w:rsid w:val="00A81C95"/>
    <w:pPr>
      <w:autoSpaceDE w:val="0"/>
      <w:autoSpaceDN w:val="0"/>
      <w:adjustRightInd w:val="0"/>
      <w:spacing w:after="0" w:line="240" w:lineRule="auto"/>
    </w:pPr>
    <w:rPr>
      <w:rFonts w:ascii="MetaBookLF" w:eastAsia="Times New Roman" w:hAnsi="MetaBookLF" w:cs="MetaBookLF"/>
      <w:color w:val="000000"/>
      <w:sz w:val="24"/>
      <w:szCs w:val="24"/>
      <w:lang w:eastAsia="de-DE"/>
    </w:rPr>
  </w:style>
  <w:style w:type="paragraph" w:styleId="Kommentarthema">
    <w:name w:val="annotation subject"/>
    <w:basedOn w:val="Kommentartext"/>
    <w:next w:val="Kommentartext"/>
    <w:link w:val="KommentarthemaZchn"/>
    <w:uiPriority w:val="99"/>
    <w:semiHidden/>
    <w:unhideWhenUsed/>
    <w:rsid w:val="00793DEA"/>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793DEA"/>
    <w:rPr>
      <w:rFonts w:ascii="MetaBookLF" w:eastAsia="Times New Roman" w:hAnsi="MetaBookLF" w:cs="Times New Roman"/>
      <w:b/>
      <w:bCs/>
      <w:sz w:val="20"/>
      <w:szCs w:val="20"/>
      <w:lang w:eastAsia="de-DE"/>
    </w:rPr>
  </w:style>
  <w:style w:type="paragraph" w:styleId="berarbeitung">
    <w:name w:val="Revision"/>
    <w:hidden/>
    <w:uiPriority w:val="99"/>
    <w:semiHidden/>
    <w:rsid w:val="005356CC"/>
    <w:pPr>
      <w:spacing w:after="0" w:line="240" w:lineRule="auto"/>
    </w:pPr>
  </w:style>
  <w:style w:type="character" w:styleId="Hyperlink">
    <w:name w:val="Hyperlink"/>
    <w:basedOn w:val="Absatz-Standardschriftart"/>
    <w:uiPriority w:val="99"/>
    <w:unhideWhenUsed/>
    <w:rsid w:val="00EE1693"/>
    <w:rPr>
      <w:color w:val="05037F" w:themeColor="hyperlink"/>
      <w:u w:val="single"/>
    </w:rPr>
  </w:style>
  <w:style w:type="character" w:styleId="NichtaufgelsteErwhnung">
    <w:name w:val="Unresolved Mention"/>
    <w:basedOn w:val="Absatz-Standardschriftart"/>
    <w:uiPriority w:val="99"/>
    <w:semiHidden/>
    <w:unhideWhenUsed/>
    <w:rsid w:val="00EE1693"/>
    <w:rPr>
      <w:color w:val="605E5C"/>
      <w:shd w:val="clear" w:color="auto" w:fill="E1DFDD"/>
    </w:rPr>
  </w:style>
  <w:style w:type="character" w:styleId="BesuchterLink">
    <w:name w:val="FollowedHyperlink"/>
    <w:basedOn w:val="Absatz-Standardschriftart"/>
    <w:uiPriority w:val="99"/>
    <w:semiHidden/>
    <w:unhideWhenUsed/>
    <w:rsid w:val="000B4075"/>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ereor.org/fileadmin/user_upload_misereororg/cooperation/en/financial/sample-cost-and-financing-plan.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sereor.org/cooperation-service/policies-guides-forms" TargetMode="External"/><Relationship Id="rId5" Type="http://schemas.openxmlformats.org/officeDocument/2006/relationships/webSettings" Target="webSettings.xml"/><Relationship Id="rId10" Type="http://schemas.openxmlformats.org/officeDocument/2006/relationships/oleObject" Target="https://www.misereor.org/fileadmin/user_upload_misereororg/cooperation/en/financial/sample-cost-and-financing-plan.xls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3A9C-43E6-407A-B05A-34721319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to Guidelines on the Submission of Funding Requests - Cost and Financing Plan</dc:title>
  <dc:subject/>
  <dc:creator>Maywurm, Christian</dc:creator>
  <cp:keywords/>
  <dc:description/>
  <cp:lastModifiedBy>Garcia, Julia</cp:lastModifiedBy>
  <cp:revision>2</cp:revision>
  <cp:lastPrinted>2024-04-16T12:46:00Z</cp:lastPrinted>
  <dcterms:created xsi:type="dcterms:W3CDTF">2024-04-16T12:48:00Z</dcterms:created>
  <dcterms:modified xsi:type="dcterms:W3CDTF">2024-04-16T12:48:00Z</dcterms:modified>
</cp:coreProperties>
</file>