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EC40E" w14:textId="1D93E782" w:rsidR="00A81C95" w:rsidRPr="00C93920" w:rsidRDefault="00994245" w:rsidP="00C93920">
      <w:pPr>
        <w:rPr>
          <w:b/>
          <w:bCs/>
          <w:smallCaps/>
          <w:sz w:val="28"/>
          <w:szCs w:val="28"/>
        </w:rPr>
      </w:pPr>
      <w:r>
        <w:rPr>
          <w:b/>
          <w:sz w:val="28"/>
        </w:rPr>
        <w:t xml:space="preserve">Annexe 1 - </w:t>
      </w:r>
      <w:r>
        <w:rPr>
          <w:b/>
          <w:smallCaps/>
          <w:sz w:val="28"/>
        </w:rPr>
        <w:t xml:space="preserve">Plan des recettes et des dépenses </w:t>
      </w:r>
    </w:p>
    <w:p w14:paraId="393E39DE" w14:textId="77777777" w:rsidR="00A81C95" w:rsidRDefault="00A81C95" w:rsidP="00A81C95">
      <w:pPr>
        <w:pStyle w:val="Default"/>
        <w:rPr>
          <w:rFonts w:cs="Arial"/>
          <w:sz w:val="21"/>
          <w:szCs w:val="21"/>
        </w:rPr>
      </w:pPr>
    </w:p>
    <w:p w14:paraId="2F2AC61E" w14:textId="1BE29F8F" w:rsidR="00A81C95" w:rsidRDefault="00D157A4" w:rsidP="00D157A4">
      <w:pPr>
        <w:pStyle w:val="Default"/>
        <w:rPr>
          <w:sz w:val="21"/>
        </w:rPr>
      </w:pPr>
      <w:r>
        <w:rPr>
          <w:sz w:val="21"/>
        </w:rPr>
        <w:t xml:space="preserve">Veuillez établir un état des </w:t>
      </w:r>
      <w:r w:rsidR="000B733A">
        <w:rPr>
          <w:sz w:val="21"/>
        </w:rPr>
        <w:t xml:space="preserve">recettes et des </w:t>
      </w:r>
      <w:r>
        <w:rPr>
          <w:sz w:val="21"/>
        </w:rPr>
        <w:t xml:space="preserve">dépenses dans la devise locale. Vous </w:t>
      </w:r>
      <w:r w:rsidRPr="00B52C88">
        <w:rPr>
          <w:color w:val="auto"/>
          <w:sz w:val="21"/>
        </w:rPr>
        <w:t xml:space="preserve">trouverez </w:t>
      </w:r>
      <w:r w:rsidRPr="00B52C88">
        <w:rPr>
          <w:rStyle w:val="Hyperlink"/>
          <w:color w:val="auto"/>
          <w:sz w:val="21"/>
          <w:u w:val="none"/>
        </w:rPr>
        <w:t>ici</w:t>
      </w:r>
      <w:r w:rsidR="00EE76DD" w:rsidRPr="00B52C88">
        <w:rPr>
          <w:color w:val="auto"/>
          <w:sz w:val="21"/>
        </w:rPr>
        <w:t xml:space="preserve"> u</w:t>
      </w:r>
      <w:r w:rsidRPr="00B52C88">
        <w:rPr>
          <w:color w:val="auto"/>
          <w:sz w:val="21"/>
        </w:rPr>
        <w:t xml:space="preserve">n </w:t>
      </w:r>
      <w:r>
        <w:rPr>
          <w:sz w:val="21"/>
        </w:rPr>
        <w:t>modèle d</w:t>
      </w:r>
      <w:r w:rsidR="007A2966">
        <w:rPr>
          <w:sz w:val="21"/>
        </w:rPr>
        <w:t>u</w:t>
      </w:r>
      <w:r>
        <w:rPr>
          <w:sz w:val="21"/>
        </w:rPr>
        <w:t xml:space="preserve"> « plan des recettes et des dépenses</w:t>
      </w:r>
      <w:r w:rsidR="007A2966">
        <w:rPr>
          <w:sz w:val="21"/>
        </w:rPr>
        <w:t> »</w:t>
      </w:r>
      <w:r w:rsidR="00B52C88">
        <w:rPr>
          <w:sz w:val="21"/>
        </w:rPr>
        <w:t> :</w:t>
      </w:r>
    </w:p>
    <w:p w14:paraId="275189DF" w14:textId="6AA9C028" w:rsidR="00B52C88" w:rsidRPr="0051335D" w:rsidRDefault="006D3ECE" w:rsidP="00D157A4">
      <w:pPr>
        <w:pStyle w:val="Default"/>
        <w:rPr>
          <w:rFonts w:cs="Arial"/>
          <w:sz w:val="21"/>
          <w:szCs w:val="21"/>
        </w:rPr>
      </w:pPr>
      <w:r>
        <w:rPr>
          <w:rFonts w:cs="Arial"/>
          <w:sz w:val="21"/>
          <w:szCs w:val="21"/>
        </w:rPr>
        <w:object w:dxaOrig="1544" w:dyaOrig="998" w14:anchorId="64E83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Link" ProgID="Excel.Sheet.12" ShapeID="_x0000_i1025" DrawAspect="Icon" r:id="rId9" UpdateMode="Always">
            <o:LinkType>EnhancedMetaFile</o:LinkType>
            <o:LockedField>false</o:LockedField>
            <o:FieldCodes>\f 0</o:FieldCodes>
          </o:OLEObject>
        </w:object>
      </w:r>
    </w:p>
    <w:p w14:paraId="4099D4BD" w14:textId="46233EE5" w:rsidR="00A81C95" w:rsidRDefault="00A81C95" w:rsidP="00A81C95">
      <w:pPr>
        <w:rPr>
          <w:rFonts w:cs="Arial"/>
          <w:u w:val="single"/>
        </w:rPr>
      </w:pPr>
    </w:p>
    <w:tbl>
      <w:tblPr>
        <w:tblW w:w="932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9322"/>
      </w:tblGrid>
      <w:tr w:rsidR="00A81C95" w:rsidRPr="005D3D51" w14:paraId="08A76109" w14:textId="77777777" w:rsidTr="00FC574D">
        <w:trPr>
          <w:trHeight w:val="128"/>
        </w:trPr>
        <w:tc>
          <w:tcPr>
            <w:tcW w:w="9322" w:type="dxa"/>
          </w:tcPr>
          <w:p w14:paraId="56B0B060" w14:textId="77777777" w:rsidR="00B70B31" w:rsidRPr="005D3D51" w:rsidRDefault="00A81C95" w:rsidP="00C93920">
            <w:pPr>
              <w:pStyle w:val="Default"/>
              <w:tabs>
                <w:tab w:val="left" w:pos="284"/>
              </w:tabs>
              <w:spacing w:after="60" w:line="276" w:lineRule="auto"/>
              <w:ind w:left="284" w:hanging="284"/>
              <w:rPr>
                <w:sz w:val="21"/>
                <w:szCs w:val="21"/>
              </w:rPr>
            </w:pPr>
            <w:r>
              <w:rPr>
                <w:sz w:val="21"/>
              </w:rPr>
              <w:t>A)</w:t>
            </w:r>
            <w:r>
              <w:rPr>
                <w:sz w:val="21"/>
              </w:rPr>
              <w:tab/>
              <w:t>RECETTES</w:t>
            </w:r>
          </w:p>
          <w:p w14:paraId="7172FC3A" w14:textId="37031EA7" w:rsidR="00A6293A" w:rsidRPr="005D3D51" w:rsidRDefault="00D157A4" w:rsidP="00C93920">
            <w:pPr>
              <w:spacing w:after="60"/>
              <w:rPr>
                <w:sz w:val="21"/>
                <w:szCs w:val="21"/>
              </w:rPr>
            </w:pPr>
            <w:r>
              <w:rPr>
                <w:sz w:val="21"/>
              </w:rPr>
              <w:t>Pour le plan des recettes, veuillez nous communiquer les recettes divisées en 3 catégories :</w:t>
            </w:r>
          </w:p>
          <w:p w14:paraId="536B25F8" w14:textId="7CF0F32F" w:rsidR="00B70B31" w:rsidRPr="00A15218" w:rsidRDefault="00C5604F" w:rsidP="00CA1516">
            <w:pPr>
              <w:pStyle w:val="Listenabsatz"/>
              <w:numPr>
                <w:ilvl w:val="0"/>
                <w:numId w:val="9"/>
              </w:numPr>
              <w:spacing w:after="60"/>
              <w:rPr>
                <w:sz w:val="21"/>
                <w:szCs w:val="21"/>
              </w:rPr>
            </w:pPr>
            <w:r>
              <w:rPr>
                <w:sz w:val="21"/>
              </w:rPr>
              <w:t>Apport propre</w:t>
            </w:r>
            <w:r w:rsidR="00100DFF">
              <w:rPr>
                <w:sz w:val="21"/>
              </w:rPr>
              <w:t xml:space="preserve"> monétaire</w:t>
            </w:r>
            <w:r>
              <w:rPr>
                <w:sz w:val="21"/>
              </w:rPr>
              <w:t xml:space="preserve"> local</w:t>
            </w:r>
          </w:p>
          <w:p w14:paraId="509C85CA" w14:textId="77777777" w:rsidR="00B70B31" w:rsidRPr="005D3D51" w:rsidRDefault="00B70B31" w:rsidP="00B70B31">
            <w:pPr>
              <w:pStyle w:val="Listenabsatz"/>
              <w:numPr>
                <w:ilvl w:val="0"/>
                <w:numId w:val="9"/>
              </w:numPr>
              <w:spacing w:after="60"/>
              <w:rPr>
                <w:sz w:val="21"/>
                <w:szCs w:val="21"/>
              </w:rPr>
            </w:pPr>
            <w:r>
              <w:rPr>
                <w:sz w:val="21"/>
              </w:rPr>
              <w:t>Contributions monétaires de tiers</w:t>
            </w:r>
          </w:p>
          <w:p w14:paraId="1FC58966" w14:textId="371D81FD" w:rsidR="00B70B31" w:rsidRPr="005D3D51" w:rsidRDefault="00B70B31" w:rsidP="00B70B31">
            <w:pPr>
              <w:pStyle w:val="Listenabsatz"/>
              <w:numPr>
                <w:ilvl w:val="0"/>
                <w:numId w:val="9"/>
              </w:numPr>
              <w:spacing w:after="60"/>
              <w:rPr>
                <w:sz w:val="21"/>
                <w:szCs w:val="21"/>
              </w:rPr>
            </w:pPr>
            <w:r>
              <w:rPr>
                <w:sz w:val="21"/>
              </w:rPr>
              <w:t>Subvention sollici</w:t>
            </w:r>
            <w:bookmarkStart w:id="0" w:name="_GoBack"/>
            <w:bookmarkEnd w:id="0"/>
            <w:r>
              <w:rPr>
                <w:sz w:val="21"/>
              </w:rPr>
              <w:t xml:space="preserve">tée auprès de </w:t>
            </w:r>
            <w:r w:rsidR="00FF7B47">
              <w:rPr>
                <w:sz w:val="21"/>
              </w:rPr>
              <w:t xml:space="preserve">Misereor </w:t>
            </w:r>
            <w:r>
              <w:rPr>
                <w:sz w:val="21"/>
              </w:rPr>
              <w:t>/ KZE</w:t>
            </w:r>
          </w:p>
          <w:p w14:paraId="7834E0EC" w14:textId="77777777" w:rsidR="00B70B31" w:rsidRPr="005D3D51" w:rsidRDefault="00B70B31" w:rsidP="00B70B31">
            <w:pPr>
              <w:ind w:left="284"/>
              <w:rPr>
                <w:sz w:val="21"/>
                <w:szCs w:val="21"/>
              </w:rPr>
            </w:pPr>
          </w:p>
          <w:p w14:paraId="33D938EB" w14:textId="4DA87B34" w:rsidR="00B70B31" w:rsidRPr="005D3D51" w:rsidRDefault="00D157A4" w:rsidP="00C93920">
            <w:pPr>
              <w:rPr>
                <w:sz w:val="21"/>
                <w:szCs w:val="21"/>
              </w:rPr>
            </w:pPr>
            <w:r>
              <w:rPr>
                <w:sz w:val="21"/>
              </w:rPr>
              <w:t>Il est important pour Misereor que vous fournissiez – pour autant que possible – la preuve d’une contribution propre du porteur du projet ou de contributions de tiers</w:t>
            </w:r>
            <w:r w:rsidR="007A2966">
              <w:rPr>
                <w:sz w:val="21"/>
              </w:rPr>
              <w:t>.</w:t>
            </w:r>
            <w:r>
              <w:rPr>
                <w:sz w:val="21"/>
              </w:rPr>
              <w:t xml:space="preserve"> Pour cette raison, nous vous demandons de prévoir systématiquement de</w:t>
            </w:r>
            <w:r w:rsidR="00B2633C">
              <w:rPr>
                <w:sz w:val="21"/>
              </w:rPr>
              <w:t>s</w:t>
            </w:r>
            <w:r>
              <w:rPr>
                <w:sz w:val="21"/>
              </w:rPr>
              <w:t xml:space="preserve"> contributions monétaires</w:t>
            </w:r>
            <w:r w:rsidR="00B2633C">
              <w:rPr>
                <w:sz w:val="21"/>
              </w:rPr>
              <w:t xml:space="preserve"> propres</w:t>
            </w:r>
            <w:r>
              <w:rPr>
                <w:sz w:val="21"/>
              </w:rPr>
              <w:t xml:space="preserve"> ainsi que des contributions de tiers pour autant que possible. Veuillez tenir compte de cet aspect lors de la planification de votre budget.</w:t>
            </w:r>
          </w:p>
          <w:p w14:paraId="78DAADF6" w14:textId="77777777" w:rsidR="00D157A4" w:rsidRPr="005D3D51" w:rsidRDefault="00D157A4" w:rsidP="00B70B31">
            <w:pPr>
              <w:rPr>
                <w:rFonts w:asciiTheme="majorHAnsi" w:hAnsiTheme="majorHAnsi"/>
                <w:sz w:val="21"/>
                <w:szCs w:val="21"/>
              </w:rPr>
            </w:pPr>
          </w:p>
          <w:p w14:paraId="79CAF03A" w14:textId="77777777" w:rsidR="00B70B31" w:rsidRPr="005D3D51" w:rsidRDefault="00B70B31" w:rsidP="00B70B31">
            <w:pPr>
              <w:autoSpaceDE w:val="0"/>
              <w:autoSpaceDN w:val="0"/>
              <w:adjustRightInd w:val="0"/>
              <w:rPr>
                <w:rFonts w:cs="MetaBookLF"/>
                <w:color w:val="000000"/>
                <w:sz w:val="21"/>
                <w:szCs w:val="21"/>
                <w:u w:val="single"/>
              </w:rPr>
            </w:pPr>
            <w:r>
              <w:rPr>
                <w:color w:val="000000"/>
                <w:sz w:val="21"/>
                <w:u w:val="single"/>
              </w:rPr>
              <w:t>Nous aimerions par ailleurs attirer votre attention sur les points suivants :</w:t>
            </w:r>
          </w:p>
          <w:p w14:paraId="796ED1E9" w14:textId="34187CD5" w:rsidR="00B70B31" w:rsidRPr="005D3D51" w:rsidRDefault="00B70B31" w:rsidP="00B70B31">
            <w:pPr>
              <w:pStyle w:val="Listenabsatz"/>
              <w:numPr>
                <w:ilvl w:val="0"/>
                <w:numId w:val="3"/>
              </w:numPr>
              <w:autoSpaceDE w:val="0"/>
              <w:autoSpaceDN w:val="0"/>
              <w:adjustRightInd w:val="0"/>
              <w:spacing w:before="120" w:line="240" w:lineRule="auto"/>
              <w:ind w:left="284" w:hanging="284"/>
              <w:contextualSpacing w:val="0"/>
              <w:rPr>
                <w:rFonts w:cs="MetaBookLF"/>
                <w:color w:val="000000"/>
                <w:sz w:val="21"/>
                <w:szCs w:val="21"/>
              </w:rPr>
            </w:pPr>
            <w:r>
              <w:rPr>
                <w:color w:val="000000"/>
                <w:sz w:val="21"/>
              </w:rPr>
              <w:t>Les apports locaux monétaires ainsi que les contributions monétaires d'autres organisations partenaires (</w:t>
            </w:r>
            <w:r>
              <w:rPr>
                <w:i/>
                <w:color w:val="000000"/>
                <w:sz w:val="21"/>
              </w:rPr>
              <w:t xml:space="preserve">« allocations de tiers ») </w:t>
            </w:r>
            <w:r>
              <w:rPr>
                <w:color w:val="000000"/>
                <w:sz w:val="21"/>
              </w:rPr>
              <w:t>doivent être fournis</w:t>
            </w:r>
            <w:r w:rsidR="00CA7029">
              <w:rPr>
                <w:color w:val="000000"/>
                <w:sz w:val="21"/>
              </w:rPr>
              <w:t xml:space="preserve"> uniquement</w:t>
            </w:r>
          </w:p>
          <w:p w14:paraId="2B77C6C4" w14:textId="77777777" w:rsidR="00B70B31" w:rsidRPr="005D3D51" w:rsidRDefault="00B70B31" w:rsidP="00B70B31">
            <w:pPr>
              <w:pStyle w:val="Listenabsatz"/>
              <w:numPr>
                <w:ilvl w:val="0"/>
                <w:numId w:val="8"/>
              </w:numPr>
              <w:autoSpaceDE w:val="0"/>
              <w:autoSpaceDN w:val="0"/>
              <w:adjustRightInd w:val="0"/>
              <w:rPr>
                <w:rFonts w:cs="MetaBookLF"/>
                <w:color w:val="000000"/>
                <w:sz w:val="21"/>
                <w:szCs w:val="21"/>
              </w:rPr>
            </w:pPr>
            <w:proofErr w:type="gramStart"/>
            <w:r>
              <w:rPr>
                <w:color w:val="000000"/>
                <w:sz w:val="21"/>
              </w:rPr>
              <w:t>durant</w:t>
            </w:r>
            <w:proofErr w:type="gramEnd"/>
            <w:r>
              <w:rPr>
                <w:color w:val="000000"/>
                <w:sz w:val="21"/>
              </w:rPr>
              <w:t xml:space="preserve"> la période de financement convenue, et </w:t>
            </w:r>
          </w:p>
          <w:p w14:paraId="2D110F11" w14:textId="07C226E8" w:rsidR="00B70B31" w:rsidRPr="005D3D51" w:rsidRDefault="00B70B31" w:rsidP="00B70B31">
            <w:pPr>
              <w:pStyle w:val="Listenabsatz"/>
              <w:numPr>
                <w:ilvl w:val="0"/>
                <w:numId w:val="8"/>
              </w:numPr>
              <w:autoSpaceDE w:val="0"/>
              <w:autoSpaceDN w:val="0"/>
              <w:adjustRightInd w:val="0"/>
              <w:rPr>
                <w:rFonts w:cs="MetaBookLF"/>
                <w:color w:val="000000"/>
                <w:sz w:val="21"/>
                <w:szCs w:val="21"/>
              </w:rPr>
            </w:pPr>
            <w:proofErr w:type="gramStart"/>
            <w:r>
              <w:rPr>
                <w:color w:val="000000"/>
                <w:sz w:val="21"/>
              </w:rPr>
              <w:t>pour</w:t>
            </w:r>
            <w:proofErr w:type="gramEnd"/>
            <w:r>
              <w:rPr>
                <w:color w:val="000000"/>
                <w:sz w:val="21"/>
              </w:rPr>
              <w:t xml:space="preserve"> les dépenses définies dans le plan des dépenses. </w:t>
            </w:r>
          </w:p>
          <w:p w14:paraId="027BCC0E" w14:textId="68F30E07" w:rsidR="00B70B31" w:rsidRPr="005D3D51" w:rsidRDefault="00B70B31" w:rsidP="00B70B31">
            <w:pPr>
              <w:ind w:left="284"/>
              <w:rPr>
                <w:rFonts w:cs="Arial"/>
                <w:sz w:val="21"/>
                <w:szCs w:val="21"/>
              </w:rPr>
            </w:pPr>
            <w:r>
              <w:rPr>
                <w:sz w:val="21"/>
              </w:rPr>
              <w:t>Veuillez indiquer les engagements fermes (réponses définitives) que vous avez reçu(e)s (n’oubliez pas d’ajouter les justificatifs) et</w:t>
            </w:r>
            <w:r w:rsidR="00A15218">
              <w:rPr>
                <w:sz w:val="21"/>
              </w:rPr>
              <w:t xml:space="preserve"> </w:t>
            </w:r>
            <w:r w:rsidR="00A15218" w:rsidRPr="00A15218">
              <w:rPr>
                <w:sz w:val="21"/>
              </w:rPr>
              <w:t>sur quels montants vous pouvez compter</w:t>
            </w:r>
          </w:p>
          <w:p w14:paraId="624FF67F" w14:textId="77777777" w:rsidR="00B70B31" w:rsidRPr="005D3D51" w:rsidRDefault="00B70B31" w:rsidP="00B70B31">
            <w:pPr>
              <w:pStyle w:val="Listenabsatz"/>
              <w:widowControl w:val="0"/>
              <w:numPr>
                <w:ilvl w:val="0"/>
                <w:numId w:val="3"/>
              </w:numPr>
              <w:autoSpaceDE w:val="0"/>
              <w:autoSpaceDN w:val="0"/>
              <w:adjustRightInd w:val="0"/>
              <w:spacing w:before="120" w:line="240" w:lineRule="auto"/>
              <w:ind w:left="284" w:hanging="284"/>
              <w:contextualSpacing w:val="0"/>
              <w:rPr>
                <w:rFonts w:cs="Arial"/>
                <w:sz w:val="21"/>
                <w:szCs w:val="21"/>
              </w:rPr>
            </w:pPr>
            <w:r>
              <w:rPr>
                <w:i/>
                <w:sz w:val="21"/>
              </w:rPr>
              <w:t>Les contributions apportées par d'autres partenaires allemands</w:t>
            </w:r>
            <w:r>
              <w:rPr>
                <w:sz w:val="21"/>
              </w:rPr>
              <w:t xml:space="preserve"> doivent être bien mises en évidence. Merci de vérifier s'il s'agit de fonds provenant d'organismes publics.</w:t>
            </w:r>
          </w:p>
          <w:p w14:paraId="30B055EF" w14:textId="46C7269D" w:rsidR="00B70B31" w:rsidRPr="005D3D51" w:rsidRDefault="00B70B31" w:rsidP="00B70B31">
            <w:pPr>
              <w:pStyle w:val="Listenabsatz"/>
              <w:widowControl w:val="0"/>
              <w:numPr>
                <w:ilvl w:val="0"/>
                <w:numId w:val="3"/>
              </w:numPr>
              <w:autoSpaceDE w:val="0"/>
              <w:autoSpaceDN w:val="0"/>
              <w:adjustRightInd w:val="0"/>
              <w:spacing w:before="120" w:line="240" w:lineRule="auto"/>
              <w:ind w:left="284" w:hanging="284"/>
              <w:rPr>
                <w:rFonts w:eastAsiaTheme="minorEastAsia" w:cs="MetaBookLF"/>
                <w:color w:val="000000"/>
                <w:sz w:val="21"/>
                <w:szCs w:val="21"/>
              </w:rPr>
            </w:pPr>
            <w:r>
              <w:rPr>
                <w:i/>
                <w:color w:val="000000" w:themeColor="text1"/>
                <w:sz w:val="21"/>
              </w:rPr>
              <w:t>L'apport local qui n'est pas de nature monétaire</w:t>
            </w:r>
            <w:r>
              <w:rPr>
                <w:color w:val="000000" w:themeColor="text1"/>
                <w:sz w:val="21"/>
              </w:rPr>
              <w:t xml:space="preserve"> (prestations bénévoles, objets cédés comme l’utilisation de localités propres, ordinateurs, véhicules, etc.) fera l'objet d'une présentation séparée.</w:t>
            </w:r>
          </w:p>
          <w:p w14:paraId="77DD7C99" w14:textId="77777777" w:rsidR="00B70B31" w:rsidRPr="005D3D51" w:rsidRDefault="00B70B31" w:rsidP="00B70B31">
            <w:pPr>
              <w:pStyle w:val="Listenabsatz"/>
              <w:widowControl w:val="0"/>
              <w:autoSpaceDE w:val="0"/>
              <w:autoSpaceDN w:val="0"/>
              <w:adjustRightInd w:val="0"/>
              <w:spacing w:before="120" w:line="240" w:lineRule="auto"/>
              <w:ind w:left="284"/>
              <w:rPr>
                <w:rFonts w:eastAsiaTheme="minorEastAsia" w:cs="MetaBookLF"/>
                <w:color w:val="000000"/>
                <w:sz w:val="21"/>
                <w:szCs w:val="21"/>
              </w:rPr>
            </w:pPr>
          </w:p>
          <w:p w14:paraId="56C2EC54" w14:textId="77777777" w:rsidR="00B70B31" w:rsidRPr="005D3D51" w:rsidRDefault="00B70B31" w:rsidP="00FC574D">
            <w:pPr>
              <w:pStyle w:val="Default"/>
              <w:tabs>
                <w:tab w:val="left" w:pos="284"/>
              </w:tabs>
              <w:ind w:left="284" w:hanging="284"/>
              <w:rPr>
                <w:sz w:val="21"/>
                <w:szCs w:val="21"/>
              </w:rPr>
            </w:pPr>
          </w:p>
          <w:p w14:paraId="68831F1D" w14:textId="33B203F7" w:rsidR="00A81C95" w:rsidRPr="005D3D51" w:rsidRDefault="00B70B31" w:rsidP="00B70B31">
            <w:pPr>
              <w:pStyle w:val="Default"/>
              <w:tabs>
                <w:tab w:val="left" w:pos="284"/>
              </w:tabs>
              <w:ind w:left="284" w:hanging="284"/>
              <w:rPr>
                <w:rFonts w:eastAsiaTheme="minorEastAsia"/>
                <w:sz w:val="21"/>
                <w:szCs w:val="21"/>
              </w:rPr>
            </w:pPr>
            <w:r>
              <w:rPr>
                <w:sz w:val="21"/>
              </w:rPr>
              <w:t>B)</w:t>
            </w:r>
            <w:r>
              <w:rPr>
                <w:sz w:val="21"/>
              </w:rPr>
              <w:tab/>
              <w:t xml:space="preserve">DÉPENSES </w:t>
            </w:r>
          </w:p>
          <w:p w14:paraId="188E4C7E" w14:textId="537777EA" w:rsidR="00A81C95" w:rsidRPr="005D3D51" w:rsidRDefault="00A81C95" w:rsidP="00FC574D">
            <w:pPr>
              <w:pStyle w:val="Default"/>
              <w:numPr>
                <w:ilvl w:val="0"/>
                <w:numId w:val="4"/>
              </w:numPr>
              <w:tabs>
                <w:tab w:val="left" w:pos="284"/>
                <w:tab w:val="left" w:pos="567"/>
              </w:tabs>
              <w:spacing w:before="60"/>
              <w:ind w:left="568" w:hanging="284"/>
              <w:rPr>
                <w:sz w:val="21"/>
                <w:szCs w:val="21"/>
              </w:rPr>
            </w:pPr>
            <w:r>
              <w:rPr>
                <w:sz w:val="21"/>
              </w:rPr>
              <w:t>Activités de construction</w:t>
            </w:r>
          </w:p>
          <w:p w14:paraId="45B9B533" w14:textId="5CA75100" w:rsidR="00A81C95" w:rsidRPr="005D3D51" w:rsidRDefault="00402F4D" w:rsidP="00A81C95">
            <w:pPr>
              <w:pStyle w:val="Default"/>
              <w:tabs>
                <w:tab w:val="left" w:pos="284"/>
                <w:tab w:val="left" w:pos="567"/>
              </w:tabs>
              <w:spacing w:before="60"/>
              <w:ind w:left="568"/>
              <w:rPr>
                <w:color w:val="auto"/>
                <w:sz w:val="21"/>
                <w:szCs w:val="21"/>
              </w:rPr>
            </w:pPr>
            <w:r>
              <w:rPr>
                <w:color w:val="auto"/>
                <w:sz w:val="21"/>
              </w:rPr>
              <w:t xml:space="preserve">Veuillez noter que nous ne pouvons pas subventionner l’achat de terrain à bâtir. Le terrain à bâtir </w:t>
            </w:r>
            <w:r w:rsidR="00F62B4D">
              <w:rPr>
                <w:color w:val="auto"/>
                <w:sz w:val="21"/>
              </w:rPr>
              <w:t>doit être</w:t>
            </w:r>
            <w:r>
              <w:rPr>
                <w:color w:val="auto"/>
                <w:sz w:val="21"/>
              </w:rPr>
              <w:t xml:space="preserve"> fourni par le répondant juridique. Il s'agit d'une contribution locale hors budget. </w:t>
            </w:r>
          </w:p>
          <w:p w14:paraId="26379556" w14:textId="742FCAA5" w:rsidR="00A81C95" w:rsidRPr="005D3D51" w:rsidRDefault="00A81C95" w:rsidP="005356CC">
            <w:pPr>
              <w:pStyle w:val="Default"/>
              <w:tabs>
                <w:tab w:val="left" w:pos="284"/>
                <w:tab w:val="left" w:pos="567"/>
              </w:tabs>
              <w:spacing w:before="60"/>
              <w:ind w:left="568"/>
              <w:rPr>
                <w:color w:val="auto"/>
                <w:sz w:val="21"/>
                <w:szCs w:val="21"/>
              </w:rPr>
            </w:pPr>
            <w:r>
              <w:rPr>
                <w:color w:val="auto"/>
                <w:sz w:val="21"/>
              </w:rPr>
              <w:t>Veuillez énumérer de manière détaillée tous les travaux de construction sur un terrain existant, y compris les nouveaux bâtiments, transformations et rénovations. Veuillez également énumérer ici les installations photovoltaïques et les systèmes d’irrigation. De tels ouvrages nécessitent des vérifications particulières, p.</w:t>
            </w:r>
            <w:r w:rsidR="00A021F2">
              <w:rPr>
                <w:color w:val="auto"/>
                <w:sz w:val="21"/>
              </w:rPr>
              <w:t xml:space="preserve"> </w:t>
            </w:r>
            <w:r>
              <w:rPr>
                <w:color w:val="auto"/>
                <w:sz w:val="21"/>
              </w:rPr>
              <w:t>ex. une vérification de la stabilité. Nous ne pouvons malheureusement pas subventionner les travaux de construction ayant commencé avant la date de démarrage du projet.</w:t>
            </w:r>
          </w:p>
          <w:p w14:paraId="501CB470" w14:textId="66B289CF" w:rsidR="008C1E23" w:rsidRPr="005D3D51" w:rsidRDefault="000B4075" w:rsidP="005356CC">
            <w:pPr>
              <w:pStyle w:val="Default"/>
              <w:tabs>
                <w:tab w:val="left" w:pos="284"/>
                <w:tab w:val="left" w:pos="567"/>
              </w:tabs>
              <w:spacing w:before="60"/>
              <w:ind w:left="568"/>
              <w:rPr>
                <w:color w:val="auto"/>
                <w:sz w:val="21"/>
                <w:szCs w:val="21"/>
              </w:rPr>
            </w:pPr>
            <w:r>
              <w:rPr>
                <w:color w:val="auto"/>
                <w:sz w:val="21"/>
              </w:rPr>
              <w:t xml:space="preserve">Pour de plus amples informations, veuillez consulter les documents « Procédures à suivre pour les projets de construction » et « Documents à fournir obligatoirement pour les projets de construction » que vous trouverez sur notre site : </w:t>
            </w:r>
            <w:hyperlink r:id="rId10" w:history="1">
              <w:r>
                <w:rPr>
                  <w:rStyle w:val="Hyperlink"/>
                  <w:sz w:val="21"/>
                </w:rPr>
                <w:t>https://www.misereor.org/fr/cooperation-services/lignes-directrices-guides-formulaires</w:t>
              </w:r>
            </w:hyperlink>
          </w:p>
          <w:p w14:paraId="7F542ABD" w14:textId="77777777" w:rsidR="00A81C95" w:rsidRPr="005D3D51" w:rsidRDefault="00A81C95" w:rsidP="00FF7B47">
            <w:pPr>
              <w:pStyle w:val="Default"/>
              <w:keepNext/>
              <w:numPr>
                <w:ilvl w:val="0"/>
                <w:numId w:val="4"/>
              </w:numPr>
              <w:tabs>
                <w:tab w:val="left" w:pos="284"/>
                <w:tab w:val="left" w:pos="567"/>
              </w:tabs>
              <w:spacing w:before="60"/>
              <w:ind w:left="568" w:hanging="284"/>
              <w:rPr>
                <w:bCs/>
                <w:color w:val="auto"/>
                <w:sz w:val="21"/>
                <w:szCs w:val="21"/>
              </w:rPr>
            </w:pPr>
            <w:r>
              <w:rPr>
                <w:color w:val="auto"/>
                <w:sz w:val="21"/>
              </w:rPr>
              <w:lastRenderedPageBreak/>
              <w:t>Dépenses non-récurrentes (investissements)</w:t>
            </w:r>
          </w:p>
          <w:p w14:paraId="0A2F3998" w14:textId="30F7F8CD" w:rsidR="00A81C95" w:rsidRDefault="00A81C95" w:rsidP="00FC574D">
            <w:pPr>
              <w:pStyle w:val="Default"/>
              <w:tabs>
                <w:tab w:val="left" w:pos="1127"/>
              </w:tabs>
              <w:ind w:left="567"/>
              <w:rPr>
                <w:color w:val="auto"/>
                <w:sz w:val="21"/>
              </w:rPr>
            </w:pPr>
            <w:r>
              <w:rPr>
                <w:color w:val="auto"/>
                <w:sz w:val="21"/>
              </w:rPr>
              <w:t>Veuillez indiquer tous les objets à inventorier (</w:t>
            </w:r>
            <w:r w:rsidR="00100DFF">
              <w:rPr>
                <w:sz w:val="21"/>
              </w:rPr>
              <w:t xml:space="preserve">selon la loi allemande </w:t>
            </w:r>
            <w:r>
              <w:rPr>
                <w:color w:val="auto"/>
                <w:sz w:val="21"/>
              </w:rPr>
              <w:t>tous les objet</w:t>
            </w:r>
            <w:r w:rsidR="00EE76DD">
              <w:rPr>
                <w:color w:val="auto"/>
                <w:sz w:val="21"/>
              </w:rPr>
              <w:t>s</w:t>
            </w:r>
            <w:r>
              <w:rPr>
                <w:color w:val="auto"/>
                <w:sz w:val="21"/>
              </w:rPr>
              <w:t xml:space="preserve"> d’une valeur de plus de 800 euros </w:t>
            </w:r>
            <w:r w:rsidR="00100DFF">
              <w:rPr>
                <w:color w:val="auto"/>
                <w:sz w:val="21"/>
              </w:rPr>
              <w:t xml:space="preserve">sans TVA </w:t>
            </w:r>
            <w:r>
              <w:rPr>
                <w:color w:val="auto"/>
                <w:sz w:val="21"/>
              </w:rPr>
              <w:t xml:space="preserve">doivent être inventoriés), </w:t>
            </w:r>
            <w:r w:rsidR="00F62B4D">
              <w:rPr>
                <w:color w:val="auto"/>
                <w:sz w:val="21"/>
              </w:rPr>
              <w:t>p. ex.</w:t>
            </w:r>
            <w:r>
              <w:rPr>
                <w:color w:val="auto"/>
                <w:sz w:val="21"/>
              </w:rPr>
              <w:t xml:space="preserve"> des véhicules, machines, équipements informatiques avec licences de logiciel, etc.</w:t>
            </w:r>
          </w:p>
          <w:p w14:paraId="34108F90" w14:textId="7A605EE7" w:rsidR="0099258C" w:rsidRDefault="0099258C" w:rsidP="00FC574D">
            <w:pPr>
              <w:pStyle w:val="Default"/>
              <w:tabs>
                <w:tab w:val="left" w:pos="1127"/>
              </w:tabs>
              <w:ind w:left="567"/>
              <w:rPr>
                <w:color w:val="auto"/>
                <w:sz w:val="21"/>
                <w:szCs w:val="21"/>
              </w:rPr>
            </w:pPr>
          </w:p>
          <w:p w14:paraId="50C13936" w14:textId="629B9955" w:rsidR="00A81C95" w:rsidRPr="005D3D51" w:rsidRDefault="00A81C95" w:rsidP="00FC574D">
            <w:pPr>
              <w:pStyle w:val="Default"/>
              <w:numPr>
                <w:ilvl w:val="0"/>
                <w:numId w:val="4"/>
              </w:numPr>
              <w:tabs>
                <w:tab w:val="left" w:pos="284"/>
                <w:tab w:val="left" w:pos="567"/>
                <w:tab w:val="left" w:pos="1127"/>
              </w:tabs>
              <w:spacing w:before="60"/>
              <w:ind w:left="568" w:hanging="284"/>
              <w:rPr>
                <w:color w:val="auto"/>
                <w:sz w:val="21"/>
                <w:szCs w:val="21"/>
              </w:rPr>
            </w:pPr>
            <w:r>
              <w:rPr>
                <w:color w:val="auto"/>
                <w:sz w:val="21"/>
              </w:rPr>
              <w:t>Personnel</w:t>
            </w:r>
          </w:p>
          <w:p w14:paraId="065637A3" w14:textId="2992DA6E" w:rsidR="00A81C95" w:rsidRPr="005D3D51" w:rsidRDefault="00A81C95" w:rsidP="00A81C95">
            <w:pPr>
              <w:pStyle w:val="Default"/>
              <w:tabs>
                <w:tab w:val="left" w:pos="284"/>
                <w:tab w:val="left" w:pos="567"/>
                <w:tab w:val="left" w:pos="1127"/>
              </w:tabs>
              <w:spacing w:before="60"/>
              <w:ind w:left="568"/>
              <w:rPr>
                <w:color w:val="auto"/>
                <w:sz w:val="21"/>
                <w:szCs w:val="21"/>
              </w:rPr>
            </w:pPr>
            <w:r>
              <w:rPr>
                <w:color w:val="auto"/>
                <w:sz w:val="21"/>
              </w:rPr>
              <w:t>Veuillez indiquer tou</w:t>
            </w:r>
            <w:r w:rsidR="00EE76DD">
              <w:rPr>
                <w:color w:val="auto"/>
                <w:sz w:val="21"/>
              </w:rPr>
              <w:t>t</w:t>
            </w:r>
            <w:r>
              <w:rPr>
                <w:color w:val="auto"/>
                <w:sz w:val="21"/>
              </w:rPr>
              <w:t xml:space="preserve"> le personnel du projet. Pour le personnel permanent, veuillez respectivement ajouter la fonction, le nombre total d’heures de travail et la part de leur temps de travail au projet.</w:t>
            </w:r>
          </w:p>
          <w:p w14:paraId="0CDA4FF0" w14:textId="7EB5089F" w:rsidR="00A81C95" w:rsidRPr="005D3D51" w:rsidRDefault="00A81C95" w:rsidP="00A81C95">
            <w:pPr>
              <w:pStyle w:val="Default"/>
              <w:tabs>
                <w:tab w:val="left" w:pos="284"/>
                <w:tab w:val="left" w:pos="567"/>
                <w:tab w:val="left" w:pos="1127"/>
              </w:tabs>
              <w:spacing w:before="60"/>
              <w:ind w:left="568"/>
              <w:rPr>
                <w:color w:val="auto"/>
                <w:sz w:val="21"/>
                <w:szCs w:val="21"/>
              </w:rPr>
            </w:pPr>
            <w:r>
              <w:rPr>
                <w:color w:val="auto"/>
                <w:sz w:val="21"/>
              </w:rPr>
              <w:t xml:space="preserve">Les frais de personnel comprennent tous les salaires plus charges sociales légales. D’autres éléments du salaire que la législation locale impose peuvent également être subventionnés. Nous ne pouvons pas subventionner </w:t>
            </w:r>
            <w:r w:rsidR="00F62B4D">
              <w:rPr>
                <w:color w:val="auto"/>
                <w:sz w:val="21"/>
              </w:rPr>
              <w:t>d</w:t>
            </w:r>
            <w:r>
              <w:rPr>
                <w:color w:val="auto"/>
                <w:sz w:val="21"/>
              </w:rPr>
              <w:t>es primes.</w:t>
            </w:r>
          </w:p>
          <w:p w14:paraId="6789E25C" w14:textId="00207B13" w:rsidR="00A81C95" w:rsidRPr="005D3D51" w:rsidRDefault="00A81C95" w:rsidP="00A81C95">
            <w:pPr>
              <w:pStyle w:val="Default"/>
              <w:tabs>
                <w:tab w:val="left" w:pos="284"/>
                <w:tab w:val="left" w:pos="567"/>
                <w:tab w:val="left" w:pos="1127"/>
              </w:tabs>
              <w:spacing w:before="60"/>
              <w:ind w:left="568"/>
              <w:rPr>
                <w:color w:val="auto"/>
                <w:sz w:val="21"/>
                <w:szCs w:val="21"/>
              </w:rPr>
            </w:pPr>
            <w:r>
              <w:rPr>
                <w:color w:val="auto"/>
                <w:sz w:val="21"/>
              </w:rPr>
              <w:t>Les dépenses pour la formation du personnel ainsi que tous les honoraires figurent également parmi les dépenses de personnel.</w:t>
            </w:r>
          </w:p>
          <w:p w14:paraId="2F47CE3E" w14:textId="77777777" w:rsidR="00A81C95" w:rsidRPr="005D3D51" w:rsidRDefault="00A81C95" w:rsidP="00FC574D">
            <w:pPr>
              <w:pStyle w:val="Default"/>
              <w:numPr>
                <w:ilvl w:val="0"/>
                <w:numId w:val="4"/>
              </w:numPr>
              <w:tabs>
                <w:tab w:val="left" w:pos="284"/>
                <w:tab w:val="left" w:pos="567"/>
                <w:tab w:val="left" w:pos="1127"/>
              </w:tabs>
              <w:spacing w:before="60"/>
              <w:ind w:left="568" w:hanging="284"/>
              <w:rPr>
                <w:color w:val="auto"/>
                <w:sz w:val="21"/>
                <w:szCs w:val="21"/>
              </w:rPr>
            </w:pPr>
            <w:r>
              <w:rPr>
                <w:color w:val="auto"/>
                <w:sz w:val="21"/>
              </w:rPr>
              <w:t>Activités du projet</w:t>
            </w:r>
          </w:p>
          <w:p w14:paraId="3D46A9AD" w14:textId="791E27AB" w:rsidR="00A81C95" w:rsidRPr="005D3D51" w:rsidRDefault="00E7371E" w:rsidP="00561AE5">
            <w:pPr>
              <w:pStyle w:val="Default"/>
              <w:tabs>
                <w:tab w:val="left" w:pos="1127"/>
              </w:tabs>
              <w:ind w:left="567"/>
              <w:rPr>
                <w:color w:val="auto"/>
                <w:sz w:val="21"/>
                <w:szCs w:val="21"/>
              </w:rPr>
            </w:pPr>
            <w:r>
              <w:rPr>
                <w:color w:val="auto"/>
                <w:sz w:val="21"/>
              </w:rPr>
              <w:t xml:space="preserve">Les activités peuvent varier selon la catégorie de projet. Il peut s’agir de dépenses liées à des ateliers, des séminaires (frais de location d’une salle, matériel didactique, nourriture pendant un séminaire, </w:t>
            </w:r>
            <w:r>
              <w:rPr>
                <w:color w:val="auto"/>
                <w:sz w:val="21"/>
                <w:u w:val="single"/>
              </w:rPr>
              <w:t>sauf</w:t>
            </w:r>
            <w:r>
              <w:rPr>
                <w:color w:val="auto"/>
                <w:sz w:val="21"/>
              </w:rPr>
              <w:t xml:space="preserve"> les honoraires), de semences, de médicaments, d’outils pour les bénéficiaires, de frais de déplacement du personnel du projet (transport, logement, per diem). Si possible, veuillez indiquer le calcul qui est à la base des dépenses. La nourriture / restauration lors de réunions d’équipe internes ne peuvent pas être subventionnées.</w:t>
            </w:r>
          </w:p>
          <w:p w14:paraId="5AE816A1" w14:textId="77777777" w:rsidR="00A81C95" w:rsidRPr="005D3D51" w:rsidRDefault="00A81C95" w:rsidP="00FC574D">
            <w:pPr>
              <w:pStyle w:val="Default"/>
              <w:numPr>
                <w:ilvl w:val="0"/>
                <w:numId w:val="4"/>
              </w:numPr>
              <w:tabs>
                <w:tab w:val="left" w:pos="284"/>
                <w:tab w:val="left" w:pos="567"/>
                <w:tab w:val="left" w:pos="1127"/>
              </w:tabs>
              <w:spacing w:before="60"/>
              <w:ind w:left="568" w:hanging="284"/>
              <w:rPr>
                <w:color w:val="auto"/>
                <w:sz w:val="21"/>
                <w:szCs w:val="21"/>
              </w:rPr>
            </w:pPr>
            <w:r>
              <w:rPr>
                <w:color w:val="auto"/>
                <w:sz w:val="21"/>
              </w:rPr>
              <w:t>Administration du projet</w:t>
            </w:r>
          </w:p>
          <w:p w14:paraId="396DDA60" w14:textId="737531A9" w:rsidR="00C345E5" w:rsidRPr="005D3D51" w:rsidRDefault="001A5F02" w:rsidP="00FC574D">
            <w:pPr>
              <w:pStyle w:val="Default"/>
              <w:tabs>
                <w:tab w:val="left" w:pos="1127"/>
              </w:tabs>
              <w:ind w:left="567"/>
              <w:rPr>
                <w:color w:val="auto"/>
                <w:sz w:val="21"/>
                <w:szCs w:val="21"/>
              </w:rPr>
            </w:pPr>
            <w:r>
              <w:rPr>
                <w:color w:val="auto"/>
                <w:sz w:val="21"/>
              </w:rPr>
              <w:t>Ce poste comprend les frais d’administration liés au projet et attribuable</w:t>
            </w:r>
            <w:r w:rsidR="00F62B4D">
              <w:rPr>
                <w:color w:val="auto"/>
                <w:sz w:val="21"/>
              </w:rPr>
              <w:t>s</w:t>
            </w:r>
            <w:r>
              <w:rPr>
                <w:color w:val="auto"/>
                <w:sz w:val="21"/>
              </w:rPr>
              <w:t xml:space="preserve"> à celui-ci. Il peut s’agir </w:t>
            </w:r>
            <w:r w:rsidR="00F62B4D">
              <w:rPr>
                <w:color w:val="auto"/>
                <w:sz w:val="21"/>
              </w:rPr>
              <w:t>de frais de</w:t>
            </w:r>
            <w:r>
              <w:rPr>
                <w:color w:val="auto"/>
                <w:sz w:val="21"/>
              </w:rPr>
              <w:t xml:space="preserve"> loyer du bureau, </w:t>
            </w:r>
            <w:r w:rsidR="00F62B4D">
              <w:rPr>
                <w:color w:val="auto"/>
                <w:sz w:val="21"/>
              </w:rPr>
              <w:t>d’</w:t>
            </w:r>
            <w:r>
              <w:rPr>
                <w:color w:val="auto"/>
                <w:sz w:val="21"/>
              </w:rPr>
              <w:t>entretien du bâtiment</w:t>
            </w:r>
            <w:r w:rsidR="00F62B4D">
              <w:rPr>
                <w:color w:val="auto"/>
                <w:sz w:val="21"/>
              </w:rPr>
              <w:t xml:space="preserve"> et</w:t>
            </w:r>
            <w:r>
              <w:rPr>
                <w:color w:val="auto"/>
                <w:sz w:val="21"/>
              </w:rPr>
              <w:t xml:space="preserve"> des véhicules, </w:t>
            </w:r>
            <w:r w:rsidR="00F62B4D">
              <w:rPr>
                <w:color w:val="auto"/>
                <w:sz w:val="21"/>
              </w:rPr>
              <w:t>de</w:t>
            </w:r>
            <w:r>
              <w:rPr>
                <w:color w:val="auto"/>
                <w:sz w:val="21"/>
              </w:rPr>
              <w:t xml:space="preserve"> télécommunication (téléphone, Internet), </w:t>
            </w:r>
            <w:r w:rsidR="00F62B4D">
              <w:rPr>
                <w:color w:val="auto"/>
                <w:sz w:val="21"/>
              </w:rPr>
              <w:t>d’</w:t>
            </w:r>
            <w:r>
              <w:rPr>
                <w:color w:val="auto"/>
                <w:sz w:val="21"/>
              </w:rPr>
              <w:t xml:space="preserve">assurances, </w:t>
            </w:r>
            <w:r w:rsidR="00F62B4D">
              <w:rPr>
                <w:color w:val="auto"/>
                <w:sz w:val="21"/>
              </w:rPr>
              <w:t xml:space="preserve">de </w:t>
            </w:r>
            <w:r>
              <w:rPr>
                <w:color w:val="auto"/>
                <w:sz w:val="21"/>
              </w:rPr>
              <w:t>fourniture de bureau.</w:t>
            </w:r>
          </w:p>
          <w:p w14:paraId="22238D10" w14:textId="14E4CBED" w:rsidR="00A81C95" w:rsidRPr="005D3D51" w:rsidRDefault="00C345E5" w:rsidP="00C345E5">
            <w:pPr>
              <w:pStyle w:val="Default"/>
              <w:tabs>
                <w:tab w:val="left" w:pos="1127"/>
              </w:tabs>
              <w:ind w:left="567"/>
              <w:rPr>
                <w:color w:val="auto"/>
                <w:sz w:val="21"/>
                <w:szCs w:val="21"/>
              </w:rPr>
            </w:pPr>
            <w:r>
              <w:rPr>
                <w:color w:val="auto"/>
                <w:sz w:val="21"/>
              </w:rPr>
              <w:t>Les frais d’administration calculés de manière forfaitaire ne peuvent pas être subventionnés. Veuillez fournir des justificatifs des dépenses totales et des subventions (partielles) réelles.</w:t>
            </w:r>
          </w:p>
          <w:p w14:paraId="48E762B3" w14:textId="40861D47" w:rsidR="00A81C95" w:rsidRPr="005D3D51" w:rsidRDefault="00E7371E" w:rsidP="00FC574D">
            <w:pPr>
              <w:pStyle w:val="Default"/>
              <w:numPr>
                <w:ilvl w:val="0"/>
                <w:numId w:val="4"/>
              </w:numPr>
              <w:tabs>
                <w:tab w:val="left" w:pos="284"/>
                <w:tab w:val="left" w:pos="567"/>
              </w:tabs>
              <w:spacing w:before="60"/>
              <w:ind w:left="568" w:hanging="284"/>
              <w:rPr>
                <w:color w:val="auto"/>
                <w:sz w:val="21"/>
                <w:szCs w:val="21"/>
              </w:rPr>
            </w:pPr>
            <w:r>
              <w:rPr>
                <w:color w:val="auto"/>
                <w:sz w:val="21"/>
              </w:rPr>
              <w:t>Évaluation externe</w:t>
            </w:r>
          </w:p>
          <w:p w14:paraId="2175FE4B" w14:textId="46A941A9" w:rsidR="00B02BAD" w:rsidRPr="005D3D51" w:rsidRDefault="00B02BAD" w:rsidP="00B02BAD">
            <w:pPr>
              <w:pStyle w:val="Default"/>
              <w:tabs>
                <w:tab w:val="left" w:pos="284"/>
                <w:tab w:val="left" w:pos="567"/>
              </w:tabs>
              <w:spacing w:before="60"/>
              <w:rPr>
                <w:color w:val="auto"/>
                <w:sz w:val="21"/>
                <w:szCs w:val="21"/>
              </w:rPr>
            </w:pPr>
          </w:p>
          <w:p w14:paraId="259E9391" w14:textId="0BFD71DB" w:rsidR="00570763" w:rsidRPr="005D3D51" w:rsidRDefault="00570763" w:rsidP="00B02BAD">
            <w:pPr>
              <w:pStyle w:val="Default"/>
              <w:tabs>
                <w:tab w:val="left" w:pos="284"/>
                <w:tab w:val="left" w:pos="567"/>
              </w:tabs>
              <w:spacing w:before="60"/>
              <w:rPr>
                <w:color w:val="auto"/>
                <w:sz w:val="21"/>
                <w:szCs w:val="21"/>
              </w:rPr>
            </w:pPr>
            <w:r>
              <w:rPr>
                <w:color w:val="auto"/>
                <w:sz w:val="21"/>
              </w:rPr>
              <w:t>Pour tous les achats/acquisitions/commandes correspondant à une des 6 catégories décrites ci-haut (p.ex. personnel : mission sur honoraires, dépenses non récurrentes : équipement informatique, etc.) qui dépassent 1 000 euros</w:t>
            </w:r>
            <w:r w:rsidR="00B30302">
              <w:rPr>
                <w:color w:val="auto"/>
                <w:sz w:val="21"/>
              </w:rPr>
              <w:t xml:space="preserve"> (sans TVA)</w:t>
            </w:r>
            <w:r>
              <w:rPr>
                <w:color w:val="auto"/>
                <w:sz w:val="21"/>
              </w:rPr>
              <w:t xml:space="preserve">, veuillez fournir 3 devis comparatifs et rédiger un avis d’attribution pour justifier le </w:t>
            </w:r>
            <w:r w:rsidR="00D13371">
              <w:rPr>
                <w:color w:val="auto"/>
                <w:sz w:val="21"/>
              </w:rPr>
              <w:t xml:space="preserve">choix du </w:t>
            </w:r>
            <w:r>
              <w:rPr>
                <w:color w:val="auto"/>
                <w:sz w:val="21"/>
              </w:rPr>
              <w:t>fournisseur.</w:t>
            </w:r>
          </w:p>
          <w:p w14:paraId="56DB1214" w14:textId="2235F2A6" w:rsidR="00143C52" w:rsidRPr="005D3D51" w:rsidRDefault="00BE3F2E" w:rsidP="00B02BAD">
            <w:pPr>
              <w:pStyle w:val="Default"/>
              <w:tabs>
                <w:tab w:val="left" w:pos="284"/>
                <w:tab w:val="left" w:pos="567"/>
              </w:tabs>
              <w:spacing w:before="60"/>
              <w:rPr>
                <w:color w:val="auto"/>
                <w:sz w:val="21"/>
                <w:szCs w:val="21"/>
              </w:rPr>
            </w:pPr>
            <w:r>
              <w:rPr>
                <w:color w:val="auto"/>
                <w:sz w:val="21"/>
              </w:rPr>
              <w:t>Nous ne pouvons reconnaître que les dépenses auxquelles sont attribuées des flux de paiements. Les coûts calculatoires comme les amortissements ou les loyers pour l’utilisation des locaux propres, des véhicules propres, etc. ne peuvent pas être comptabilisés.</w:t>
            </w:r>
          </w:p>
          <w:p w14:paraId="6648D5FF" w14:textId="4748D811" w:rsidR="00B02BAD" w:rsidRPr="00FF7B47" w:rsidRDefault="00B02BAD" w:rsidP="00B02BAD">
            <w:pPr>
              <w:pStyle w:val="Default"/>
              <w:tabs>
                <w:tab w:val="left" w:pos="284"/>
                <w:tab w:val="left" w:pos="567"/>
              </w:tabs>
              <w:spacing w:before="60"/>
              <w:rPr>
                <w:color w:val="auto"/>
                <w:sz w:val="21"/>
                <w:szCs w:val="21"/>
              </w:rPr>
            </w:pPr>
            <w:r>
              <w:rPr>
                <w:color w:val="auto"/>
                <w:sz w:val="21"/>
              </w:rPr>
              <w:t xml:space="preserve">Veuillez noter que toutes les dépenses figurant dans le budget doivent être directement liées au projet. Les dépenses institutionnelles qui sont uniquement liées au fonctionnement de l’institution et non au projet (p.ex. le travail des conseils, etc.) ne peuvent pas bénéficier d’une subvention. </w:t>
            </w:r>
          </w:p>
          <w:p w14:paraId="6FC2363B" w14:textId="4C67BEEC" w:rsidR="00D85100" w:rsidRPr="005D3D51" w:rsidRDefault="00D85100" w:rsidP="00C93920">
            <w:pPr>
              <w:pStyle w:val="Default"/>
              <w:rPr>
                <w:sz w:val="21"/>
                <w:szCs w:val="21"/>
              </w:rPr>
            </w:pPr>
          </w:p>
        </w:tc>
      </w:tr>
    </w:tbl>
    <w:p w14:paraId="6EDC544E" w14:textId="02108867" w:rsidR="00143F4C" w:rsidRDefault="00143F4C" w:rsidP="00B70B31">
      <w:pPr>
        <w:rPr>
          <w:rFonts w:eastAsiaTheme="minorEastAsia" w:cs="MetaBookLF"/>
          <w:color w:val="000000"/>
          <w:sz w:val="21"/>
          <w:szCs w:val="21"/>
        </w:rPr>
      </w:pPr>
    </w:p>
    <w:p w14:paraId="4F4D8174" w14:textId="77777777" w:rsidR="00FF7B47" w:rsidRPr="00C93920" w:rsidRDefault="00FF7B47" w:rsidP="00B70B31">
      <w:pPr>
        <w:rPr>
          <w:rFonts w:eastAsiaTheme="minorEastAsia" w:cs="MetaBookLF"/>
          <w:color w:val="000000"/>
          <w:sz w:val="21"/>
          <w:szCs w:val="21"/>
        </w:rPr>
      </w:pPr>
    </w:p>
    <w:sectPr w:rsidR="00FF7B47" w:rsidRPr="00C93920" w:rsidSect="00EE4BE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52FB4" w14:textId="77777777" w:rsidR="002F6E6A" w:rsidRDefault="002F6E6A" w:rsidP="004F6F1A">
      <w:pPr>
        <w:spacing w:line="240" w:lineRule="auto"/>
      </w:pPr>
      <w:r>
        <w:separator/>
      </w:r>
    </w:p>
  </w:endnote>
  <w:endnote w:type="continuationSeparator" w:id="0">
    <w:p w14:paraId="12EBBEC1" w14:textId="77777777" w:rsidR="002F6E6A" w:rsidRDefault="002F6E6A"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07"/>
      <w:gridCol w:w="1148"/>
      <w:gridCol w:w="650"/>
    </w:tblGrid>
    <w:tr w:rsidR="00DC259C" w:rsidRPr="00800DF6" w14:paraId="1D72A818" w14:textId="77777777" w:rsidTr="007D02F5">
      <w:tc>
        <w:tcPr>
          <w:tcW w:w="7807" w:type="dxa"/>
        </w:tcPr>
        <w:p w14:paraId="35A1FA6F" w14:textId="21A42BB4" w:rsidR="00CE2B63" w:rsidRPr="00800DF6" w:rsidRDefault="00CE2B63" w:rsidP="007D02F5">
          <w:pPr>
            <w:pStyle w:val="Fuzeile"/>
            <w:tabs>
              <w:tab w:val="clear" w:pos="4536"/>
            </w:tabs>
            <w:rPr>
              <w:szCs w:val="16"/>
            </w:rPr>
          </w:pPr>
        </w:p>
      </w:tc>
      <w:tc>
        <w:tcPr>
          <w:tcW w:w="1148" w:type="dxa"/>
        </w:tcPr>
        <w:p w14:paraId="22113C2F" w14:textId="2F1F20F7" w:rsidR="00F410A0" w:rsidRPr="00800DF6" w:rsidRDefault="00F410A0" w:rsidP="00F410A0">
          <w:pPr>
            <w:pStyle w:val="Fuzeile"/>
            <w:jc w:val="right"/>
            <w:rPr>
              <w:szCs w:val="16"/>
            </w:rPr>
          </w:pPr>
        </w:p>
      </w:tc>
      <w:tc>
        <w:tcPr>
          <w:tcW w:w="650" w:type="dxa"/>
        </w:tcPr>
        <w:p w14:paraId="0A3E91F9" w14:textId="77777777" w:rsidR="00CE2B63" w:rsidRPr="00800DF6" w:rsidRDefault="003D6DB1" w:rsidP="00AC2509">
          <w:pPr>
            <w:pStyle w:val="Fuzeile"/>
            <w:jc w:val="right"/>
            <w:rPr>
              <w:szCs w:val="16"/>
            </w:rPr>
          </w:pPr>
          <w:r w:rsidRPr="00800DF6">
            <w:fldChar w:fldCharType="begin"/>
          </w:r>
          <w:r w:rsidR="00AC2509" w:rsidRPr="00800DF6">
            <w:instrText xml:space="preserve"> PAGE  \* MERGEFORMAT </w:instrText>
          </w:r>
          <w:r w:rsidRPr="00800DF6">
            <w:fldChar w:fldCharType="separate"/>
          </w:r>
          <w:r w:rsidR="00F71937">
            <w:t>1</w:t>
          </w:r>
          <w:r w:rsidRPr="00800DF6">
            <w:fldChar w:fldCharType="end"/>
          </w:r>
          <w:r>
            <w:t>/</w:t>
          </w:r>
          <w:fldSimple w:instr=" NUMPAGES   \* MERGEFORMAT ">
            <w:r w:rsidR="00F71937">
              <w:t>1</w:t>
            </w:r>
          </w:fldSimple>
        </w:p>
      </w:tc>
    </w:tr>
  </w:tbl>
  <w:p w14:paraId="52A761C1" w14:textId="77777777" w:rsidR="004F6F1A" w:rsidRPr="00F73FFC" w:rsidRDefault="004F6F1A" w:rsidP="00FF7B47">
    <w:pPr>
      <w:pStyle w:val="Fuzeile"/>
      <w:spacing w:line="40" w:lineRule="exac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7E2E" w14:textId="77777777" w:rsidR="002F6E6A" w:rsidRDefault="002F6E6A" w:rsidP="004F6F1A">
      <w:pPr>
        <w:spacing w:line="240" w:lineRule="auto"/>
      </w:pPr>
      <w:r>
        <w:separator/>
      </w:r>
    </w:p>
  </w:footnote>
  <w:footnote w:type="continuationSeparator" w:id="0">
    <w:p w14:paraId="1FF6EAEC" w14:textId="77777777" w:rsidR="002F6E6A" w:rsidRDefault="002F6E6A" w:rsidP="004F6F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422D"/>
    <w:multiLevelType w:val="hybridMultilevel"/>
    <w:tmpl w:val="2D8A5D3C"/>
    <w:lvl w:ilvl="0" w:tplc="48F2E33E">
      <w:start w:val="4"/>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222AEF"/>
    <w:multiLevelType w:val="hybridMultilevel"/>
    <w:tmpl w:val="843439B0"/>
    <w:lvl w:ilvl="0" w:tplc="7E561F22">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42D93D2F"/>
    <w:multiLevelType w:val="hybridMultilevel"/>
    <w:tmpl w:val="F6FA5B42"/>
    <w:lvl w:ilvl="0" w:tplc="8A58DE5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3B63D3"/>
    <w:multiLevelType w:val="hybridMultilevel"/>
    <w:tmpl w:val="C3F063C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59974805"/>
    <w:multiLevelType w:val="hybridMultilevel"/>
    <w:tmpl w:val="65D4F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1327C"/>
    <w:multiLevelType w:val="hybridMultilevel"/>
    <w:tmpl w:val="E750ADD4"/>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646249DE"/>
    <w:multiLevelType w:val="hybridMultilevel"/>
    <w:tmpl w:val="EF80B6EE"/>
    <w:lvl w:ilvl="0" w:tplc="2886190A">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6E810AEC"/>
    <w:multiLevelType w:val="hybridMultilevel"/>
    <w:tmpl w:val="5AF038FE"/>
    <w:lvl w:ilvl="0" w:tplc="451EEF64">
      <w:start w:val="6"/>
      <w:numFmt w:val="decimal"/>
      <w:lvlText w:val="%1."/>
      <w:lvlJc w:val="left"/>
      <w:pPr>
        <w:ind w:left="501" w:hanging="360"/>
      </w:pPr>
      <w:rPr>
        <w:rFonts w:hint="default"/>
        <w:sz w:val="28"/>
        <w:szCs w:val="28"/>
      </w:rPr>
    </w:lvl>
    <w:lvl w:ilvl="1" w:tplc="04070019" w:tentative="1">
      <w:start w:val="1"/>
      <w:numFmt w:val="lowerLetter"/>
      <w:lvlText w:val="%2."/>
      <w:lvlJc w:val="left"/>
      <w:pPr>
        <w:ind w:left="-7208" w:hanging="360"/>
      </w:pPr>
    </w:lvl>
    <w:lvl w:ilvl="2" w:tplc="0407001B" w:tentative="1">
      <w:start w:val="1"/>
      <w:numFmt w:val="lowerRoman"/>
      <w:lvlText w:val="%3."/>
      <w:lvlJc w:val="right"/>
      <w:pPr>
        <w:ind w:left="-6488" w:hanging="180"/>
      </w:pPr>
    </w:lvl>
    <w:lvl w:ilvl="3" w:tplc="0407000F" w:tentative="1">
      <w:start w:val="1"/>
      <w:numFmt w:val="decimal"/>
      <w:lvlText w:val="%4."/>
      <w:lvlJc w:val="left"/>
      <w:pPr>
        <w:ind w:left="-5768" w:hanging="360"/>
      </w:pPr>
    </w:lvl>
    <w:lvl w:ilvl="4" w:tplc="04070019" w:tentative="1">
      <w:start w:val="1"/>
      <w:numFmt w:val="lowerLetter"/>
      <w:lvlText w:val="%5."/>
      <w:lvlJc w:val="left"/>
      <w:pPr>
        <w:ind w:left="-5048" w:hanging="360"/>
      </w:pPr>
    </w:lvl>
    <w:lvl w:ilvl="5" w:tplc="0407001B" w:tentative="1">
      <w:start w:val="1"/>
      <w:numFmt w:val="lowerRoman"/>
      <w:lvlText w:val="%6."/>
      <w:lvlJc w:val="right"/>
      <w:pPr>
        <w:ind w:left="-4328" w:hanging="180"/>
      </w:pPr>
    </w:lvl>
    <w:lvl w:ilvl="6" w:tplc="0407000F" w:tentative="1">
      <w:start w:val="1"/>
      <w:numFmt w:val="decimal"/>
      <w:lvlText w:val="%7."/>
      <w:lvlJc w:val="left"/>
      <w:pPr>
        <w:ind w:left="-3608" w:hanging="360"/>
      </w:pPr>
    </w:lvl>
    <w:lvl w:ilvl="7" w:tplc="04070019" w:tentative="1">
      <w:start w:val="1"/>
      <w:numFmt w:val="lowerLetter"/>
      <w:lvlText w:val="%8."/>
      <w:lvlJc w:val="left"/>
      <w:pPr>
        <w:ind w:left="-2888" w:hanging="360"/>
      </w:pPr>
    </w:lvl>
    <w:lvl w:ilvl="8" w:tplc="0407001B" w:tentative="1">
      <w:start w:val="1"/>
      <w:numFmt w:val="lowerRoman"/>
      <w:lvlText w:val="%9."/>
      <w:lvlJc w:val="right"/>
      <w:pPr>
        <w:ind w:left="-2168" w:hanging="180"/>
      </w:pPr>
    </w:lvl>
  </w:abstractNum>
  <w:abstractNum w:abstractNumId="8" w15:restartNumberingAfterBreak="0">
    <w:nsid w:val="767B1EA9"/>
    <w:multiLevelType w:val="hybridMultilevel"/>
    <w:tmpl w:val="1376196A"/>
    <w:lvl w:ilvl="0" w:tplc="6A8628A2">
      <w:numFmt w:val="bullet"/>
      <w:lvlText w:val="-"/>
      <w:lvlJc w:val="left"/>
      <w:pPr>
        <w:ind w:left="720" w:hanging="360"/>
      </w:pPr>
      <w:rPr>
        <w:rFonts w:ascii="MetaBookLF" w:eastAsiaTheme="minorHAnsi" w:hAnsi="MetaBookLF"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11481E"/>
    <w:multiLevelType w:val="multilevel"/>
    <w:tmpl w:val="286E6D40"/>
    <w:lvl w:ilvl="0">
      <w:start w:val="1"/>
      <w:numFmt w:val="decimal"/>
      <w:lvlText w:val="%1."/>
      <w:lvlJc w:val="left"/>
      <w:pPr>
        <w:ind w:left="1004" w:hanging="360"/>
      </w:pPr>
    </w:lvl>
    <w:lvl w:ilvl="1">
      <w:start w:val="1"/>
      <w:numFmt w:val="decimal"/>
      <w:isLgl/>
      <w:lvlText w:val="%1.%2"/>
      <w:lvlJc w:val="left"/>
      <w:pPr>
        <w:ind w:left="1199" w:hanging="55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num w:numId="1">
    <w:abstractNumId w:val="8"/>
  </w:num>
  <w:num w:numId="2">
    <w:abstractNumId w:val="4"/>
  </w:num>
  <w:num w:numId="3">
    <w:abstractNumId w:val="2"/>
  </w:num>
  <w:num w:numId="4">
    <w:abstractNumId w:val="9"/>
  </w:num>
  <w:num w:numId="5">
    <w:abstractNumId w:val="7"/>
  </w:num>
  <w:num w:numId="6">
    <w:abstractNumId w:val="3"/>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6A"/>
    <w:rsid w:val="00003BA2"/>
    <w:rsid w:val="00022CF2"/>
    <w:rsid w:val="0003608A"/>
    <w:rsid w:val="00071833"/>
    <w:rsid w:val="0008196A"/>
    <w:rsid w:val="00084316"/>
    <w:rsid w:val="000A4BAF"/>
    <w:rsid w:val="000B4075"/>
    <w:rsid w:val="000B733A"/>
    <w:rsid w:val="000D7FAC"/>
    <w:rsid w:val="00100DFF"/>
    <w:rsid w:val="001019B3"/>
    <w:rsid w:val="00112FCB"/>
    <w:rsid w:val="00114180"/>
    <w:rsid w:val="00125EB4"/>
    <w:rsid w:val="00143C52"/>
    <w:rsid w:val="00143F4C"/>
    <w:rsid w:val="001571DC"/>
    <w:rsid w:val="001768B8"/>
    <w:rsid w:val="00192BC4"/>
    <w:rsid w:val="001A5F02"/>
    <w:rsid w:val="001C3900"/>
    <w:rsid w:val="001D5AEA"/>
    <w:rsid w:val="001F2F26"/>
    <w:rsid w:val="002513CF"/>
    <w:rsid w:val="00266073"/>
    <w:rsid w:val="00272112"/>
    <w:rsid w:val="002A12D0"/>
    <w:rsid w:val="002C16B0"/>
    <w:rsid w:val="002D27BA"/>
    <w:rsid w:val="002F6E6A"/>
    <w:rsid w:val="00303FB5"/>
    <w:rsid w:val="00312C7F"/>
    <w:rsid w:val="00326923"/>
    <w:rsid w:val="00343952"/>
    <w:rsid w:val="0038438A"/>
    <w:rsid w:val="00387BCE"/>
    <w:rsid w:val="003C2AF5"/>
    <w:rsid w:val="003C5851"/>
    <w:rsid w:val="003D6DB1"/>
    <w:rsid w:val="00402F4D"/>
    <w:rsid w:val="004374DB"/>
    <w:rsid w:val="00464D37"/>
    <w:rsid w:val="00473B03"/>
    <w:rsid w:val="004F6F1A"/>
    <w:rsid w:val="00504E4B"/>
    <w:rsid w:val="00527224"/>
    <w:rsid w:val="005356CC"/>
    <w:rsid w:val="00540D27"/>
    <w:rsid w:val="00544261"/>
    <w:rsid w:val="00561AE5"/>
    <w:rsid w:val="00570763"/>
    <w:rsid w:val="00574CCB"/>
    <w:rsid w:val="00593F73"/>
    <w:rsid w:val="005C3BBD"/>
    <w:rsid w:val="005D31C7"/>
    <w:rsid w:val="005D3D51"/>
    <w:rsid w:val="005D53CD"/>
    <w:rsid w:val="005E4FD4"/>
    <w:rsid w:val="00603083"/>
    <w:rsid w:val="00641140"/>
    <w:rsid w:val="00662750"/>
    <w:rsid w:val="006655C3"/>
    <w:rsid w:val="00667CAE"/>
    <w:rsid w:val="006A099C"/>
    <w:rsid w:val="006C01F3"/>
    <w:rsid w:val="006D3ECE"/>
    <w:rsid w:val="006D62DB"/>
    <w:rsid w:val="006F1284"/>
    <w:rsid w:val="007112FD"/>
    <w:rsid w:val="00767466"/>
    <w:rsid w:val="0077766F"/>
    <w:rsid w:val="00783E7D"/>
    <w:rsid w:val="00792FE1"/>
    <w:rsid w:val="00793DEA"/>
    <w:rsid w:val="007A1EA6"/>
    <w:rsid w:val="007A2966"/>
    <w:rsid w:val="007D02F5"/>
    <w:rsid w:val="007D1545"/>
    <w:rsid w:val="00800DF6"/>
    <w:rsid w:val="00807306"/>
    <w:rsid w:val="00822EC0"/>
    <w:rsid w:val="00833CDC"/>
    <w:rsid w:val="0084546E"/>
    <w:rsid w:val="00854971"/>
    <w:rsid w:val="008B1141"/>
    <w:rsid w:val="008C1E23"/>
    <w:rsid w:val="008C75AD"/>
    <w:rsid w:val="008D7DCA"/>
    <w:rsid w:val="008F7281"/>
    <w:rsid w:val="00927466"/>
    <w:rsid w:val="0096664A"/>
    <w:rsid w:val="0099258C"/>
    <w:rsid w:val="00994245"/>
    <w:rsid w:val="009A10F2"/>
    <w:rsid w:val="009C06FB"/>
    <w:rsid w:val="00A021F2"/>
    <w:rsid w:val="00A10982"/>
    <w:rsid w:val="00A15218"/>
    <w:rsid w:val="00A157EF"/>
    <w:rsid w:val="00A21A08"/>
    <w:rsid w:val="00A30A15"/>
    <w:rsid w:val="00A510A4"/>
    <w:rsid w:val="00A6293A"/>
    <w:rsid w:val="00A81C95"/>
    <w:rsid w:val="00A87D59"/>
    <w:rsid w:val="00AA6E6C"/>
    <w:rsid w:val="00AC08EF"/>
    <w:rsid w:val="00AC2509"/>
    <w:rsid w:val="00AC3BE2"/>
    <w:rsid w:val="00AC51C8"/>
    <w:rsid w:val="00AC5719"/>
    <w:rsid w:val="00B02BAD"/>
    <w:rsid w:val="00B0645B"/>
    <w:rsid w:val="00B2633C"/>
    <w:rsid w:val="00B30302"/>
    <w:rsid w:val="00B30EAF"/>
    <w:rsid w:val="00B52400"/>
    <w:rsid w:val="00B52C88"/>
    <w:rsid w:val="00B70B31"/>
    <w:rsid w:val="00B7662F"/>
    <w:rsid w:val="00BA53B6"/>
    <w:rsid w:val="00BB5F15"/>
    <w:rsid w:val="00BC5BDA"/>
    <w:rsid w:val="00BD42A4"/>
    <w:rsid w:val="00BE02E6"/>
    <w:rsid w:val="00BE3F2E"/>
    <w:rsid w:val="00BF3B84"/>
    <w:rsid w:val="00BF6EF1"/>
    <w:rsid w:val="00C345E5"/>
    <w:rsid w:val="00C5073B"/>
    <w:rsid w:val="00C5604F"/>
    <w:rsid w:val="00C56955"/>
    <w:rsid w:val="00C749CD"/>
    <w:rsid w:val="00C93920"/>
    <w:rsid w:val="00C97D16"/>
    <w:rsid w:val="00CA1516"/>
    <w:rsid w:val="00CA7029"/>
    <w:rsid w:val="00CA7B28"/>
    <w:rsid w:val="00CD3AFB"/>
    <w:rsid w:val="00CD5359"/>
    <w:rsid w:val="00CE2B63"/>
    <w:rsid w:val="00D07EFE"/>
    <w:rsid w:val="00D13371"/>
    <w:rsid w:val="00D157A4"/>
    <w:rsid w:val="00D64C7B"/>
    <w:rsid w:val="00D85100"/>
    <w:rsid w:val="00D92473"/>
    <w:rsid w:val="00D931F3"/>
    <w:rsid w:val="00DA259B"/>
    <w:rsid w:val="00DC259C"/>
    <w:rsid w:val="00E01899"/>
    <w:rsid w:val="00E46C87"/>
    <w:rsid w:val="00E513CF"/>
    <w:rsid w:val="00E612A2"/>
    <w:rsid w:val="00E7249B"/>
    <w:rsid w:val="00E7371E"/>
    <w:rsid w:val="00E87E28"/>
    <w:rsid w:val="00E9694D"/>
    <w:rsid w:val="00EA7ABA"/>
    <w:rsid w:val="00EE1693"/>
    <w:rsid w:val="00EE4BE8"/>
    <w:rsid w:val="00EE76DD"/>
    <w:rsid w:val="00F225DC"/>
    <w:rsid w:val="00F23AD4"/>
    <w:rsid w:val="00F33915"/>
    <w:rsid w:val="00F410A0"/>
    <w:rsid w:val="00F4705F"/>
    <w:rsid w:val="00F62B4D"/>
    <w:rsid w:val="00F71937"/>
    <w:rsid w:val="00F73FFC"/>
    <w:rsid w:val="00F7652E"/>
    <w:rsid w:val="00F81520"/>
    <w:rsid w:val="00FA10DE"/>
    <w:rsid w:val="00FA735C"/>
    <w:rsid w:val="00FC552B"/>
    <w:rsid w:val="00FE1B10"/>
    <w:rsid w:val="00FE4684"/>
    <w:rsid w:val="00FF7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A941786"/>
  <w15:chartTrackingRefBased/>
  <w15:docId w15:val="{AD0F6B7C-D747-495B-8F39-1B7A9738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1937"/>
    <w:pPr>
      <w:spacing w:after="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D07EFE"/>
    <w:pPr>
      <w:ind w:left="720"/>
      <w:contextualSpacing/>
    </w:pPr>
  </w:style>
  <w:style w:type="character" w:styleId="Kommentarzeichen">
    <w:name w:val="annotation reference"/>
    <w:basedOn w:val="Absatz-Standardschriftart"/>
    <w:semiHidden/>
    <w:rsid w:val="00A81C95"/>
    <w:rPr>
      <w:sz w:val="16"/>
      <w:szCs w:val="16"/>
    </w:rPr>
  </w:style>
  <w:style w:type="paragraph" w:styleId="Kommentartext">
    <w:name w:val="annotation text"/>
    <w:basedOn w:val="Standard"/>
    <w:link w:val="KommentartextZchn"/>
    <w:semiHidden/>
    <w:rsid w:val="00A81C95"/>
    <w:pPr>
      <w:spacing w:line="240" w:lineRule="auto"/>
    </w:pPr>
    <w:rPr>
      <w:rFonts w:ascii="MetaBookLF" w:eastAsia="Times New Roman" w:hAnsi="MetaBookLF" w:cs="Times New Roman"/>
      <w:sz w:val="20"/>
      <w:szCs w:val="20"/>
      <w:lang w:eastAsia="de-DE"/>
    </w:rPr>
  </w:style>
  <w:style w:type="character" w:customStyle="1" w:styleId="KommentartextZchn">
    <w:name w:val="Kommentartext Zchn"/>
    <w:basedOn w:val="Absatz-Standardschriftart"/>
    <w:link w:val="Kommentartext"/>
    <w:semiHidden/>
    <w:rsid w:val="00A81C95"/>
    <w:rPr>
      <w:rFonts w:ascii="MetaBookLF" w:eastAsia="Times New Roman" w:hAnsi="MetaBookLF" w:cs="Times New Roman"/>
      <w:sz w:val="20"/>
      <w:szCs w:val="20"/>
      <w:lang w:eastAsia="de-DE"/>
    </w:rPr>
  </w:style>
  <w:style w:type="paragraph" w:customStyle="1" w:styleId="Default">
    <w:name w:val="Default"/>
    <w:locked/>
    <w:rsid w:val="00A81C95"/>
    <w:pPr>
      <w:autoSpaceDE w:val="0"/>
      <w:autoSpaceDN w:val="0"/>
      <w:adjustRightInd w:val="0"/>
      <w:spacing w:after="0" w:line="240" w:lineRule="auto"/>
    </w:pPr>
    <w:rPr>
      <w:rFonts w:ascii="MetaBookLF" w:eastAsia="Times New Roman" w:hAnsi="MetaBookLF" w:cs="MetaBookLF"/>
      <w:color w:val="000000"/>
      <w:sz w:val="24"/>
      <w:szCs w:val="24"/>
      <w:lang w:eastAsia="de-DE"/>
    </w:rPr>
  </w:style>
  <w:style w:type="paragraph" w:styleId="Kommentarthema">
    <w:name w:val="annotation subject"/>
    <w:basedOn w:val="Kommentartext"/>
    <w:next w:val="Kommentartext"/>
    <w:link w:val="KommentarthemaZchn"/>
    <w:uiPriority w:val="99"/>
    <w:semiHidden/>
    <w:unhideWhenUsed/>
    <w:rsid w:val="00793DEA"/>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793DEA"/>
    <w:rPr>
      <w:rFonts w:ascii="MetaBookLF" w:eastAsia="Times New Roman" w:hAnsi="MetaBookLF" w:cs="Times New Roman"/>
      <w:b/>
      <w:bCs/>
      <w:sz w:val="20"/>
      <w:szCs w:val="20"/>
      <w:lang w:eastAsia="de-DE"/>
    </w:rPr>
  </w:style>
  <w:style w:type="paragraph" w:styleId="berarbeitung">
    <w:name w:val="Revision"/>
    <w:hidden/>
    <w:uiPriority w:val="99"/>
    <w:semiHidden/>
    <w:rsid w:val="005356CC"/>
    <w:pPr>
      <w:spacing w:after="0" w:line="240" w:lineRule="auto"/>
    </w:pPr>
  </w:style>
  <w:style w:type="character" w:styleId="Hyperlink">
    <w:name w:val="Hyperlink"/>
    <w:basedOn w:val="Absatz-Standardschriftart"/>
    <w:uiPriority w:val="99"/>
    <w:unhideWhenUsed/>
    <w:rsid w:val="00EE1693"/>
    <w:rPr>
      <w:color w:val="05037F" w:themeColor="hyperlink"/>
      <w:u w:val="single"/>
    </w:rPr>
  </w:style>
  <w:style w:type="character" w:styleId="NichtaufgelsteErwhnung">
    <w:name w:val="Unresolved Mention"/>
    <w:basedOn w:val="Absatz-Standardschriftart"/>
    <w:uiPriority w:val="99"/>
    <w:semiHidden/>
    <w:unhideWhenUsed/>
    <w:rsid w:val="00EE1693"/>
    <w:rPr>
      <w:color w:val="605E5C"/>
      <w:shd w:val="clear" w:color="auto" w:fill="E1DFDD"/>
    </w:rPr>
  </w:style>
  <w:style w:type="character" w:styleId="BesuchterLink">
    <w:name w:val="FollowedHyperlink"/>
    <w:basedOn w:val="Absatz-Standardschriftart"/>
    <w:uiPriority w:val="99"/>
    <w:semiHidden/>
    <w:unhideWhenUsed/>
    <w:rsid w:val="000B4075"/>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sereor.org/fr/cooperation-services/lignes-directrices-guides-formulaires" TargetMode="External"/><Relationship Id="rId4" Type="http://schemas.openxmlformats.org/officeDocument/2006/relationships/settings" Target="settings.xml"/><Relationship Id="rId9" Type="http://schemas.openxmlformats.org/officeDocument/2006/relationships/oleObject" Target="https://www.misereor.org/fileadmin/user_upload_misereororg/cooperation/forms/fr/Exemple_de_plan_des_recettes_et_des_depenses_f.xlsx" TargetMode="Externa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029A-310F-4957-8C21-B3FD9E4C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Maywurm, Christian</dc:creator>
  <cp:keywords/>
  <dc:description/>
  <cp:lastModifiedBy>Garcia, Julia</cp:lastModifiedBy>
  <cp:revision>5</cp:revision>
  <dcterms:created xsi:type="dcterms:W3CDTF">2023-02-08T14:54:00Z</dcterms:created>
  <dcterms:modified xsi:type="dcterms:W3CDTF">2023-02-10T14:30:00Z</dcterms:modified>
</cp:coreProperties>
</file>