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C40E" w14:textId="1D93E782" w:rsidR="00A81C95" w:rsidRPr="00C93920" w:rsidRDefault="00994245" w:rsidP="00C93920">
      <w:pPr>
        <w:rPr>
          <w:b/>
          <w:bCs/>
          <w:smallCaps/>
          <w:sz w:val="28"/>
          <w:szCs w:val="28"/>
        </w:rPr>
      </w:pPr>
      <w:r>
        <w:rPr>
          <w:b/>
          <w:sz w:val="28"/>
        </w:rPr>
        <w:t>Anexo 1 - Plano de receitas e despesas</w:t>
      </w:r>
      <w:r>
        <w:rPr>
          <w:b/>
          <w:smallCaps/>
          <w:sz w:val="28"/>
        </w:rPr>
        <w:t xml:space="preserve"> </w:t>
      </w:r>
    </w:p>
    <w:p w14:paraId="393E39DE" w14:textId="77777777" w:rsidR="00A81C95" w:rsidRDefault="00A81C95" w:rsidP="00A81C95">
      <w:pPr>
        <w:pStyle w:val="Default"/>
        <w:rPr>
          <w:rFonts w:cs="Arial"/>
          <w:sz w:val="21"/>
          <w:szCs w:val="21"/>
        </w:rPr>
      </w:pPr>
    </w:p>
    <w:p w14:paraId="2F2AC61E" w14:textId="3D15B230" w:rsidR="00A81C95" w:rsidRPr="007117D0" w:rsidRDefault="00D157A4" w:rsidP="00D157A4">
      <w:pPr>
        <w:pStyle w:val="Default"/>
        <w:rPr>
          <w:rStyle w:val="Hyperlink"/>
          <w:color w:val="auto"/>
          <w:sz w:val="21"/>
          <w:u w:val="none"/>
        </w:rPr>
      </w:pPr>
      <w:r>
        <w:rPr>
          <w:sz w:val="21"/>
        </w:rPr>
        <w:t>Por favor, elabore um plano d</w:t>
      </w:r>
      <w:r w:rsidR="004119DA">
        <w:rPr>
          <w:sz w:val="21"/>
        </w:rPr>
        <w:t>e financiamento (</w:t>
      </w:r>
      <w:r>
        <w:rPr>
          <w:sz w:val="21"/>
        </w:rPr>
        <w:t>receitas</w:t>
      </w:r>
      <w:r w:rsidR="004119DA">
        <w:rPr>
          <w:sz w:val="21"/>
        </w:rPr>
        <w:t>)</w:t>
      </w:r>
      <w:r>
        <w:rPr>
          <w:sz w:val="21"/>
        </w:rPr>
        <w:t xml:space="preserve"> e </w:t>
      </w:r>
      <w:r w:rsidR="004119DA">
        <w:rPr>
          <w:sz w:val="21"/>
        </w:rPr>
        <w:t>o orçamento (</w:t>
      </w:r>
      <w:r>
        <w:rPr>
          <w:sz w:val="21"/>
        </w:rPr>
        <w:t>despesas</w:t>
      </w:r>
      <w:r w:rsidR="004119DA">
        <w:rPr>
          <w:sz w:val="21"/>
        </w:rPr>
        <w:t>)</w:t>
      </w:r>
      <w:r>
        <w:rPr>
          <w:sz w:val="21"/>
        </w:rPr>
        <w:t xml:space="preserve"> em moeda nacional. </w:t>
      </w:r>
      <w:r w:rsidR="007117D0">
        <w:rPr>
          <w:sz w:val="21"/>
        </w:rPr>
        <w:t>Um</w:t>
      </w:r>
      <w:r>
        <w:rPr>
          <w:sz w:val="21"/>
        </w:rPr>
        <w:t xml:space="preserve"> exemplo de um plano de receitas e despesas</w:t>
      </w:r>
      <w:r w:rsidR="007117D0">
        <w:rPr>
          <w:sz w:val="21"/>
        </w:rPr>
        <w:t xml:space="preserve"> </w:t>
      </w:r>
      <w:r w:rsidR="007117D0" w:rsidRPr="007117D0">
        <w:rPr>
          <w:color w:val="auto"/>
          <w:sz w:val="21"/>
        </w:rPr>
        <w:t xml:space="preserve">encontra </w:t>
      </w:r>
      <w:r w:rsidR="0015183E" w:rsidRPr="007117D0">
        <w:rPr>
          <w:rStyle w:val="Hyperlink"/>
          <w:color w:val="auto"/>
          <w:sz w:val="21"/>
          <w:u w:val="none"/>
        </w:rPr>
        <w:t>aqui</w:t>
      </w:r>
      <w:r w:rsidR="007117D0" w:rsidRPr="007117D0">
        <w:rPr>
          <w:rStyle w:val="Hyperlink"/>
          <w:color w:val="auto"/>
          <w:sz w:val="21"/>
          <w:u w:val="none"/>
        </w:rPr>
        <w:t>:</w:t>
      </w:r>
    </w:p>
    <w:p w14:paraId="6E324815" w14:textId="6D2559E8" w:rsidR="007117D0" w:rsidRPr="0051335D" w:rsidRDefault="00F745E4" w:rsidP="00D157A4">
      <w:pPr>
        <w:pStyle w:val="Defaul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object w:dxaOrig="1544" w:dyaOrig="998" w14:anchorId="05858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Link" ProgID="Excel.Sheet.12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4099D4BD" w14:textId="46233EE5" w:rsidR="00A81C95" w:rsidRDefault="00A81C95" w:rsidP="00A81C95">
      <w:pPr>
        <w:rPr>
          <w:rFonts w:cs="Arial"/>
          <w:u w:val="single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22"/>
      </w:tblGrid>
      <w:tr w:rsidR="00A81C95" w:rsidRPr="005D3D51" w14:paraId="08A76109" w14:textId="77777777" w:rsidTr="00FC574D">
        <w:trPr>
          <w:trHeight w:val="128"/>
        </w:trPr>
        <w:tc>
          <w:tcPr>
            <w:tcW w:w="9322" w:type="dxa"/>
          </w:tcPr>
          <w:p w14:paraId="56B0B060" w14:textId="77777777" w:rsidR="00B70B31" w:rsidRPr="005D3D51" w:rsidRDefault="00A81C95" w:rsidP="00C93920">
            <w:pPr>
              <w:pStyle w:val="Default"/>
              <w:tabs>
                <w:tab w:val="left" w:pos="284"/>
              </w:tabs>
              <w:spacing w:after="60" w:line="276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</w:rPr>
              <w:t>A)</w:t>
            </w:r>
            <w:r>
              <w:rPr>
                <w:sz w:val="21"/>
              </w:rPr>
              <w:tab/>
              <w:t>RECEITAS (plano de financiamento)</w:t>
            </w:r>
          </w:p>
          <w:p w14:paraId="7172FC3A" w14:textId="37031EA7" w:rsidR="00A6293A" w:rsidRPr="005D3D51" w:rsidRDefault="00D157A4" w:rsidP="00C93920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</w:rPr>
              <w:t>Para o plano de receitas, indique as receitas nas 3 diferentes categorias:</w:t>
            </w:r>
          </w:p>
          <w:p w14:paraId="536B25F8" w14:textId="1BE669BB" w:rsidR="00B70B31" w:rsidRPr="005D3D51" w:rsidRDefault="00B70B31" w:rsidP="00B70B31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Contribuição própria monetária </w:t>
            </w:r>
          </w:p>
          <w:p w14:paraId="509C85CA" w14:textId="77777777" w:rsidR="00B70B31" w:rsidRPr="005D3D51" w:rsidRDefault="00B70B31" w:rsidP="00B70B31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</w:rPr>
              <w:t>Contribuições monetárias de terceiros</w:t>
            </w:r>
          </w:p>
          <w:p w14:paraId="1FC58966" w14:textId="77777777" w:rsidR="00B70B31" w:rsidRPr="005D3D51" w:rsidRDefault="00B70B31" w:rsidP="00B70B31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</w:rPr>
              <w:t>Fundos solicitados à Misereor/KZE</w:t>
            </w:r>
          </w:p>
          <w:p w14:paraId="7834E0EC" w14:textId="77777777" w:rsidR="00B70B31" w:rsidRPr="005D3D51" w:rsidRDefault="00B70B31" w:rsidP="00F745E4">
            <w:pPr>
              <w:rPr>
                <w:sz w:val="21"/>
                <w:szCs w:val="21"/>
              </w:rPr>
            </w:pPr>
          </w:p>
          <w:p w14:paraId="33D938EB" w14:textId="615F7C47" w:rsidR="00B70B31" w:rsidRPr="005D3D51" w:rsidRDefault="00D157A4" w:rsidP="00C93920">
            <w:pPr>
              <w:rPr>
                <w:sz w:val="21"/>
                <w:szCs w:val="21"/>
              </w:rPr>
            </w:pPr>
            <w:r>
              <w:rPr>
                <w:sz w:val="21"/>
              </w:rPr>
              <w:t xml:space="preserve">Para a Misereor é importante que, sempre que possível, haja uma contribuição própria da organização parceira ou de terceiros.  Por isso pedimos que - sempre que possível - preveja no seu planejamento orçamental uma contribuição própria em dinheiro assim como contribuições de terceiros. </w:t>
            </w:r>
          </w:p>
          <w:p w14:paraId="78DAADF6" w14:textId="77777777" w:rsidR="00D157A4" w:rsidRPr="005D3D51" w:rsidRDefault="00D157A4" w:rsidP="00B70B3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9CAF03A" w14:textId="77777777" w:rsidR="00B70B31" w:rsidRPr="005D3D51" w:rsidRDefault="00B70B31" w:rsidP="00B70B31">
            <w:pPr>
              <w:autoSpaceDE w:val="0"/>
              <w:autoSpaceDN w:val="0"/>
              <w:adjustRightInd w:val="0"/>
              <w:rPr>
                <w:rFonts w:cs="MetaBookLF"/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u w:val="single"/>
              </w:rPr>
              <w:t>Além disso, gostaríamos de chamar a sua atenção para os seguintes pontos:</w:t>
            </w:r>
          </w:p>
          <w:p w14:paraId="796ED1E9" w14:textId="77777777" w:rsidR="00B70B31" w:rsidRPr="005D3D51" w:rsidRDefault="00B70B31" w:rsidP="00B70B3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284" w:hanging="284"/>
              <w:contextualSpacing w:val="0"/>
              <w:rPr>
                <w:rFonts w:cs="MetaBookLF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As contribuições monetárias acordadas - as contribuições próprias e de terceiros - devem ser efetuadas sempre</w:t>
            </w:r>
          </w:p>
          <w:p w14:paraId="2B77C6C4" w14:textId="64D08F70" w:rsidR="00B70B31" w:rsidRPr="00F42BAE" w:rsidRDefault="00B70B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MetaBookLF"/>
                <w:color w:val="000000"/>
                <w:sz w:val="21"/>
                <w:szCs w:val="21"/>
              </w:rPr>
            </w:pPr>
            <w:r w:rsidRPr="00F42BAE">
              <w:rPr>
                <w:color w:val="000000"/>
                <w:sz w:val="21"/>
              </w:rPr>
              <w:t xml:space="preserve">dentro do prazo de execução aprovado e </w:t>
            </w:r>
          </w:p>
          <w:p w14:paraId="2D110F11" w14:textId="2E6F2044" w:rsidR="00B70B31" w:rsidRPr="005D3D51" w:rsidRDefault="00B70B31" w:rsidP="00B70B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MetaBookLF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para as atividades</w:t>
            </w:r>
            <w:r w:rsidR="004119DA">
              <w:rPr>
                <w:color w:val="FF0000"/>
                <w:sz w:val="21"/>
              </w:rPr>
              <w:t xml:space="preserve"> </w:t>
            </w:r>
            <w:r w:rsidR="004119DA" w:rsidRPr="00F42BAE">
              <w:rPr>
                <w:sz w:val="21"/>
              </w:rPr>
              <w:t>e despesas</w:t>
            </w:r>
            <w:r w:rsidR="0028317C" w:rsidRPr="00F42BAE">
              <w:rPr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incluídas no orçamento. </w:t>
            </w:r>
          </w:p>
          <w:p w14:paraId="027BCC0E" w14:textId="160A2684" w:rsidR="00B70B31" w:rsidRPr="005D3D51" w:rsidRDefault="00B70B31" w:rsidP="00B70B31">
            <w:pPr>
              <w:ind w:left="284"/>
              <w:rPr>
                <w:rFonts w:cs="Arial"/>
                <w:sz w:val="21"/>
                <w:szCs w:val="21"/>
              </w:rPr>
            </w:pPr>
            <w:r>
              <w:rPr>
                <w:sz w:val="21"/>
              </w:rPr>
              <w:t xml:space="preserve">Favor indicar quais contribuições financeiras </w:t>
            </w:r>
            <w:r w:rsidR="004119DA">
              <w:rPr>
                <w:sz w:val="21"/>
              </w:rPr>
              <w:t xml:space="preserve">que </w:t>
            </w:r>
            <w:r>
              <w:rPr>
                <w:sz w:val="21"/>
              </w:rPr>
              <w:t>já foram confirmadas (favor juntar provas) e até que ponto são definitivas.</w:t>
            </w:r>
          </w:p>
          <w:p w14:paraId="624FF67F" w14:textId="77777777" w:rsidR="00B70B31" w:rsidRPr="005D3D51" w:rsidRDefault="00B70B31" w:rsidP="00B70B3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284" w:hanging="284"/>
              <w:contextualSpacing w:val="0"/>
              <w:rPr>
                <w:rFonts w:cs="Arial"/>
                <w:sz w:val="21"/>
                <w:szCs w:val="21"/>
              </w:rPr>
            </w:pPr>
            <w:r>
              <w:rPr>
                <w:i/>
                <w:sz w:val="21"/>
              </w:rPr>
              <w:t>Contribuições provenientes de outras agências alemãs</w:t>
            </w:r>
            <w:r>
              <w:rPr>
                <w:sz w:val="21"/>
              </w:rPr>
              <w:t xml:space="preserve"> devem ser assinaladas de forma especial. Por favor, verifique se estas contribuições provêm de fundos públicos de entidades ou serviços governamentais.</w:t>
            </w:r>
          </w:p>
          <w:p w14:paraId="30B055EF" w14:textId="3CCE3453" w:rsidR="00B70B31" w:rsidRPr="005D3D51" w:rsidRDefault="00B70B31" w:rsidP="00B70B3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rFonts w:eastAsiaTheme="minorEastAsia" w:cs="MetaBookLF"/>
                <w:color w:val="000000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</w:rPr>
              <w:t>A contribuição local não-monetária prevista</w:t>
            </w:r>
            <w:r>
              <w:rPr>
                <w:color w:val="000000" w:themeColor="text1"/>
                <w:sz w:val="21"/>
              </w:rPr>
              <w:t xml:space="preserve"> (trabalho não remunerado, disponibilização de espaços próprios, computadores, veículos, etc.) </w:t>
            </w:r>
            <w:r w:rsidR="004119DA" w:rsidRPr="00F42BAE">
              <w:rPr>
                <w:sz w:val="21"/>
              </w:rPr>
              <w:t xml:space="preserve">tem de </w:t>
            </w:r>
            <w:r>
              <w:rPr>
                <w:color w:val="000000" w:themeColor="text1"/>
                <w:sz w:val="21"/>
              </w:rPr>
              <w:t>ser especificada em separado.</w:t>
            </w:r>
          </w:p>
          <w:p w14:paraId="77DD7C99" w14:textId="77777777" w:rsidR="00B70B31" w:rsidRPr="005D3D51" w:rsidRDefault="00B70B31" w:rsidP="00B70B31">
            <w:pPr>
              <w:pStyle w:val="Listenabsatz"/>
              <w:widowControl w:val="0"/>
              <w:autoSpaceDE w:val="0"/>
              <w:autoSpaceDN w:val="0"/>
              <w:adjustRightInd w:val="0"/>
              <w:spacing w:before="120" w:line="240" w:lineRule="auto"/>
              <w:ind w:left="284"/>
              <w:rPr>
                <w:rFonts w:eastAsiaTheme="minorEastAsia" w:cs="MetaBookLF"/>
                <w:color w:val="000000"/>
                <w:sz w:val="21"/>
                <w:szCs w:val="21"/>
              </w:rPr>
            </w:pPr>
          </w:p>
          <w:p w14:paraId="56C2EC54" w14:textId="77777777" w:rsidR="00B70B31" w:rsidRPr="005D3D51" w:rsidRDefault="00B70B31" w:rsidP="00FC574D">
            <w:pPr>
              <w:pStyle w:val="Default"/>
              <w:tabs>
                <w:tab w:val="left" w:pos="284"/>
              </w:tabs>
              <w:ind w:left="284" w:hanging="284"/>
              <w:rPr>
                <w:sz w:val="21"/>
                <w:szCs w:val="21"/>
              </w:rPr>
            </w:pPr>
          </w:p>
          <w:p w14:paraId="68831F1D" w14:textId="33B203F7" w:rsidR="00A81C95" w:rsidRPr="005D3D51" w:rsidRDefault="00B70B31" w:rsidP="00B70B31">
            <w:pPr>
              <w:pStyle w:val="Default"/>
              <w:tabs>
                <w:tab w:val="left" w:pos="284"/>
              </w:tabs>
              <w:ind w:left="284" w:hanging="284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</w:rPr>
              <w:t xml:space="preserve">B) </w:t>
            </w:r>
            <w:r>
              <w:rPr>
                <w:sz w:val="21"/>
              </w:rPr>
              <w:tab/>
              <w:t xml:space="preserve">DESPESAS (orçamento) </w:t>
            </w:r>
          </w:p>
          <w:p w14:paraId="188E4C7E" w14:textId="537777EA" w:rsidR="00A81C95" w:rsidRPr="005D3D51" w:rsidRDefault="00A81C95" w:rsidP="00FC574D">
            <w:pPr>
              <w:pStyle w:val="Default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before="60"/>
              <w:ind w:left="568" w:hanging="284"/>
              <w:rPr>
                <w:sz w:val="21"/>
                <w:szCs w:val="21"/>
              </w:rPr>
            </w:pPr>
            <w:r>
              <w:rPr>
                <w:sz w:val="21"/>
              </w:rPr>
              <w:t>Obras de construção</w:t>
            </w:r>
          </w:p>
          <w:p w14:paraId="45B9B533" w14:textId="1680A973" w:rsidR="00A81C95" w:rsidRPr="005D3D51" w:rsidRDefault="00402F4D" w:rsidP="00A81C95">
            <w:pPr>
              <w:pStyle w:val="Default"/>
              <w:tabs>
                <w:tab w:val="left" w:pos="284"/>
                <w:tab w:val="left" w:pos="567"/>
              </w:tabs>
              <w:spacing w:before="60"/>
              <w:ind w:left="5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Chamamos à sua atenção que não podemos financiar a compra de terrenos. Os terrenos de construção devem ser disponibilizados pela organização parceira como contribuição local extra-orçamental) </w:t>
            </w:r>
          </w:p>
          <w:p w14:paraId="26379556" w14:textId="589B8D28" w:rsidR="00A81C95" w:rsidRPr="005D3D51" w:rsidRDefault="00A81C95" w:rsidP="005356CC">
            <w:pPr>
              <w:pStyle w:val="Default"/>
              <w:tabs>
                <w:tab w:val="left" w:pos="284"/>
                <w:tab w:val="left" w:pos="567"/>
              </w:tabs>
              <w:spacing w:before="60"/>
              <w:ind w:left="5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Por favor </w:t>
            </w:r>
            <w:r w:rsidR="005C449B">
              <w:rPr>
                <w:color w:val="auto"/>
                <w:sz w:val="21"/>
              </w:rPr>
              <w:t xml:space="preserve">especifique </w:t>
            </w:r>
            <w:r>
              <w:rPr>
                <w:color w:val="auto"/>
                <w:sz w:val="21"/>
              </w:rPr>
              <w:t xml:space="preserve">todas as obras previstas em um terreno disponível, incluindo novas construções, remodelações e reformas. Aqui devem figurar também a montagem de instalações solares ou sistemas de irrigação. </w:t>
            </w:r>
            <w:r w:rsidR="00C04066">
              <w:rPr>
                <w:color w:val="auto"/>
                <w:sz w:val="21"/>
              </w:rPr>
              <w:t>A instalação destes sistema</w:t>
            </w:r>
            <w:r w:rsidR="005C449B">
              <w:rPr>
                <w:color w:val="auto"/>
                <w:sz w:val="21"/>
              </w:rPr>
              <w:t>s</w:t>
            </w:r>
            <w:r w:rsidR="00C04066">
              <w:rPr>
                <w:color w:val="auto"/>
                <w:sz w:val="21"/>
              </w:rPr>
              <w:t xml:space="preserve"> </w:t>
            </w:r>
            <w:r w:rsidR="00E06AC9">
              <w:rPr>
                <w:color w:val="auto"/>
                <w:sz w:val="21"/>
              </w:rPr>
              <w:t>requer testes estruturais/</w:t>
            </w:r>
            <w:r w:rsidR="00F42BAE">
              <w:rPr>
                <w:color w:val="auto"/>
                <w:sz w:val="21"/>
              </w:rPr>
              <w:t xml:space="preserve"> </w:t>
            </w:r>
            <w:r w:rsidR="00E06AC9">
              <w:rPr>
                <w:color w:val="auto"/>
                <w:sz w:val="21"/>
              </w:rPr>
              <w:t>estático</w:t>
            </w:r>
            <w:r w:rsidR="005C449B">
              <w:rPr>
                <w:color w:val="auto"/>
                <w:sz w:val="21"/>
              </w:rPr>
              <w:t>s</w:t>
            </w:r>
            <w:r w:rsidR="00E06AC9">
              <w:rPr>
                <w:color w:val="auto"/>
                <w:sz w:val="21"/>
              </w:rPr>
              <w:t xml:space="preserve"> por separado</w:t>
            </w:r>
            <w:r>
              <w:rPr>
                <w:color w:val="auto"/>
                <w:sz w:val="21"/>
              </w:rPr>
              <w:t>. Obras iniciadas antes do início do projeto não são elegíveis para financiamento.</w:t>
            </w:r>
          </w:p>
          <w:p w14:paraId="501CB470" w14:textId="6BF785E9" w:rsidR="008C1E23" w:rsidRPr="005D3D51" w:rsidRDefault="000B4075" w:rsidP="005356CC">
            <w:pPr>
              <w:pStyle w:val="Default"/>
              <w:tabs>
                <w:tab w:val="left" w:pos="284"/>
                <w:tab w:val="left" w:pos="567"/>
              </w:tabs>
              <w:spacing w:before="60"/>
              <w:ind w:left="5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Para mais informações, consulte os documentos “</w:t>
            </w:r>
            <w:hyperlink r:id="rId10" w:history="1">
              <w:r w:rsidRPr="00B55B44">
                <w:rPr>
                  <w:rStyle w:val="Hyperlink"/>
                  <w:sz w:val="21"/>
                </w:rPr>
                <w:t>Procedimento a seguir em caso de projetos de construção</w:t>
              </w:r>
            </w:hyperlink>
            <w:r>
              <w:rPr>
                <w:color w:val="auto"/>
                <w:sz w:val="21"/>
              </w:rPr>
              <w:t xml:space="preserve">“ assim como a “Documentação requerida pela KZE para obras de construção“ no site da Misereor: </w:t>
            </w:r>
            <w:hyperlink r:id="rId11" w:history="1">
              <w:r w:rsidR="00FC5ABE" w:rsidRPr="00B55F14">
                <w:rPr>
                  <w:rStyle w:val="Hyperlink"/>
                  <w:sz w:val="21"/>
                </w:rPr>
                <w:t>https://www.misereor.org/pt/cooperacao-servico/politicas-de-acao-guias-formularios</w:t>
              </w:r>
            </w:hyperlink>
            <w:r w:rsidR="00FC5ABE">
              <w:rPr>
                <w:rStyle w:val="Hyperlink"/>
                <w:sz w:val="21"/>
              </w:rPr>
              <w:t xml:space="preserve"> </w:t>
            </w:r>
          </w:p>
          <w:p w14:paraId="7F542ABD" w14:textId="77777777" w:rsidR="00A81C95" w:rsidRPr="005D3D51" w:rsidRDefault="00A81C95" w:rsidP="00FC574D">
            <w:pPr>
              <w:pStyle w:val="Default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before="60"/>
              <w:ind w:left="568" w:hanging="284"/>
              <w:rPr>
                <w:b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Despesas não recorrentes (Investimentos)</w:t>
            </w:r>
          </w:p>
          <w:p w14:paraId="0A2F3998" w14:textId="0BE138A6" w:rsidR="00A81C95" w:rsidRPr="005D3D51" w:rsidRDefault="00A81C95" w:rsidP="00FC574D">
            <w:pPr>
              <w:pStyle w:val="Default"/>
              <w:tabs>
                <w:tab w:val="left" w:pos="1127"/>
              </w:tabs>
              <w:ind w:left="56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Por favor, faça uma lista de inventário de todos os itens com um valor superior a 800 </w:t>
            </w:r>
            <w:r w:rsidRPr="0028317C">
              <w:rPr>
                <w:color w:val="auto"/>
                <w:sz w:val="21"/>
              </w:rPr>
              <w:t>€</w:t>
            </w:r>
            <w:r w:rsidR="00E06AC9" w:rsidRPr="00F42BAE">
              <w:rPr>
                <w:color w:val="auto"/>
                <w:sz w:val="21"/>
              </w:rPr>
              <w:t xml:space="preserve"> sem IVA</w:t>
            </w:r>
            <w:r>
              <w:rPr>
                <w:color w:val="auto"/>
                <w:sz w:val="21"/>
              </w:rPr>
              <w:t xml:space="preserve">. </w:t>
            </w:r>
            <w:r w:rsidR="00E019BB" w:rsidRPr="00E019BB">
              <w:rPr>
                <w:color w:val="auto"/>
                <w:sz w:val="21"/>
              </w:rPr>
              <w:t>Isto se pode tratar, por exemplo</w:t>
            </w:r>
            <w:r>
              <w:rPr>
                <w:color w:val="auto"/>
                <w:sz w:val="21"/>
              </w:rPr>
              <w:t xml:space="preserve">, </w:t>
            </w:r>
            <w:r w:rsidR="00FC5ABE">
              <w:rPr>
                <w:color w:val="auto"/>
                <w:sz w:val="21"/>
              </w:rPr>
              <w:t xml:space="preserve">de </w:t>
            </w:r>
            <w:r>
              <w:rPr>
                <w:color w:val="auto"/>
                <w:sz w:val="21"/>
              </w:rPr>
              <w:t>veículos, máquinas, equipamentos de TI, incluindo as licenças de software.</w:t>
            </w:r>
            <w:bookmarkStart w:id="0" w:name="_GoBack"/>
            <w:bookmarkEnd w:id="0"/>
          </w:p>
          <w:p w14:paraId="50C13936" w14:textId="629B9955" w:rsidR="00A81C95" w:rsidRPr="005D3D51" w:rsidRDefault="00A81C95" w:rsidP="00F745E4">
            <w:pPr>
              <w:pStyle w:val="Default"/>
              <w:keepNext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27"/>
              </w:tabs>
              <w:spacing w:before="60"/>
              <w:ind w:left="568" w:hanging="284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lastRenderedPageBreak/>
              <w:t>Pessoal</w:t>
            </w:r>
          </w:p>
          <w:p w14:paraId="065637A3" w14:textId="6FAF881A" w:rsidR="00A81C95" w:rsidRPr="005D3D51" w:rsidRDefault="00A81C95" w:rsidP="00A81C95">
            <w:pPr>
              <w:pStyle w:val="Default"/>
              <w:tabs>
                <w:tab w:val="left" w:pos="284"/>
                <w:tab w:val="left" w:pos="567"/>
                <w:tab w:val="left" w:pos="1127"/>
              </w:tabs>
              <w:spacing w:before="60"/>
              <w:ind w:left="5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Favor indicar todas as pessoas que trabalharão no projeto, no caso de empregados(as) contratados(as), indicar a função, a carga </w:t>
            </w:r>
            <w:r w:rsidRPr="0028317C">
              <w:rPr>
                <w:color w:val="auto"/>
                <w:sz w:val="21"/>
              </w:rPr>
              <w:t xml:space="preserve">horária </w:t>
            </w:r>
            <w:r w:rsidR="00E019BB" w:rsidRPr="00F42BAE">
              <w:rPr>
                <w:color w:val="auto"/>
                <w:sz w:val="21"/>
              </w:rPr>
              <w:t xml:space="preserve">total </w:t>
            </w:r>
            <w:r w:rsidRPr="0028317C">
              <w:rPr>
                <w:color w:val="auto"/>
                <w:sz w:val="21"/>
              </w:rPr>
              <w:t xml:space="preserve">e a porcentagem </w:t>
            </w:r>
            <w:r>
              <w:rPr>
                <w:color w:val="auto"/>
                <w:sz w:val="21"/>
              </w:rPr>
              <w:t>da sua carga horária destinada para o projeto.</w:t>
            </w:r>
          </w:p>
          <w:p w14:paraId="0CDA4FF0" w14:textId="2D1610C4" w:rsidR="00A81C95" w:rsidRPr="005D3D51" w:rsidRDefault="00A81C95" w:rsidP="00A81C95">
            <w:pPr>
              <w:pStyle w:val="Default"/>
              <w:tabs>
                <w:tab w:val="left" w:pos="284"/>
                <w:tab w:val="left" w:pos="567"/>
                <w:tab w:val="left" w:pos="1127"/>
              </w:tabs>
              <w:spacing w:before="60"/>
              <w:ind w:left="5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As despesas com pessoal incluem todos os salários e encargos sociais obrigatórios. Podem ser financiados os componentes salariais previstos na legislação local. Pagamentos de bônus não são elegíveis.</w:t>
            </w:r>
          </w:p>
          <w:p w14:paraId="6789E25C" w14:textId="00207B13" w:rsidR="00A81C95" w:rsidRPr="005D3D51" w:rsidRDefault="00A81C95" w:rsidP="00A81C95">
            <w:pPr>
              <w:pStyle w:val="Default"/>
              <w:tabs>
                <w:tab w:val="left" w:pos="284"/>
                <w:tab w:val="left" w:pos="567"/>
                <w:tab w:val="left" w:pos="1127"/>
              </w:tabs>
              <w:spacing w:before="60"/>
              <w:ind w:left="5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Nas despesas com pessoal devem ser incluídas também as despesas com formação/capacitação do pessoal assim como eventuais honorários.</w:t>
            </w:r>
          </w:p>
          <w:p w14:paraId="2F47CE3E" w14:textId="77777777" w:rsidR="00A81C95" w:rsidRPr="005D3D51" w:rsidRDefault="00A81C95" w:rsidP="00FC574D">
            <w:pPr>
              <w:pStyle w:val="Default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27"/>
              </w:tabs>
              <w:spacing w:before="60"/>
              <w:ind w:left="568" w:hanging="284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Atividades do projeto</w:t>
            </w:r>
          </w:p>
          <w:p w14:paraId="3D46A9AD" w14:textId="5A46E87B" w:rsidR="00A81C95" w:rsidRPr="005D3D51" w:rsidRDefault="00E7371E" w:rsidP="00561AE5">
            <w:pPr>
              <w:pStyle w:val="Default"/>
              <w:tabs>
                <w:tab w:val="left" w:pos="1127"/>
              </w:tabs>
              <w:ind w:left="56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As atividades do projeto podem variar muito em função do tipo de projeto. Exemplos típicos de despesas das atividades são as de oficinas, seminários (aluguel de salas, material didático, alimentação durante o seminário, porém </w:t>
            </w:r>
            <w:r>
              <w:rPr>
                <w:color w:val="auto"/>
                <w:sz w:val="21"/>
                <w:u w:val="single"/>
              </w:rPr>
              <w:t>sem</w:t>
            </w:r>
            <w:r>
              <w:rPr>
                <w:color w:val="auto"/>
                <w:sz w:val="21"/>
              </w:rPr>
              <w:t xml:space="preserve"> honorários), sementes, medicamentos, ferramentas para os grupos-alvo, despesas de viagem da equipe (transporte, alojamento, ajudas de custo). </w:t>
            </w:r>
            <w:r w:rsidR="00FC5ABE" w:rsidRPr="00F42BAE">
              <w:rPr>
                <w:color w:val="auto"/>
                <w:sz w:val="21"/>
              </w:rPr>
              <w:t>Por favor</w:t>
            </w:r>
            <w:r>
              <w:rPr>
                <w:color w:val="auto"/>
                <w:sz w:val="21"/>
              </w:rPr>
              <w:t xml:space="preserve"> indique como estas despesas foram calculadas. Os gastos de alimentação/refeições em reuniões de trabalho internas não são elegíveis para financiamento.</w:t>
            </w:r>
          </w:p>
          <w:p w14:paraId="5AE816A1" w14:textId="77777777" w:rsidR="00A81C95" w:rsidRPr="005D3D51" w:rsidRDefault="00A81C95" w:rsidP="00FC574D">
            <w:pPr>
              <w:pStyle w:val="Default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27"/>
              </w:tabs>
              <w:spacing w:before="60"/>
              <w:ind w:left="568" w:hanging="284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Administração do projeto</w:t>
            </w:r>
          </w:p>
          <w:p w14:paraId="396DDA60" w14:textId="01CAFA3F" w:rsidR="00C345E5" w:rsidRPr="005D3D51" w:rsidRDefault="001A5F02" w:rsidP="00FC574D">
            <w:pPr>
              <w:pStyle w:val="Default"/>
              <w:tabs>
                <w:tab w:val="left" w:pos="1127"/>
              </w:tabs>
              <w:ind w:left="56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Refere-se aos custos de administração incorridos e atribuíveis ao projeto. Estes podem ser: Aluguel do escritório, manutenção do edifício, manutenção de veículos, custos de comunicação (telefone, internet), seguros, material de expediente.</w:t>
            </w:r>
          </w:p>
          <w:p w14:paraId="22238D10" w14:textId="6D51AF04" w:rsidR="00A81C95" w:rsidRPr="005D3D51" w:rsidRDefault="00C345E5" w:rsidP="00C345E5">
            <w:pPr>
              <w:pStyle w:val="Default"/>
              <w:tabs>
                <w:tab w:val="left" w:pos="1127"/>
              </w:tabs>
              <w:ind w:left="56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Não se financiará uma taxa global dos custos de administração; é sempre necessário comprovar as despesas totais e o financiamento efetivo (pro rata).</w:t>
            </w:r>
          </w:p>
          <w:p w14:paraId="48E762B3" w14:textId="40861D47" w:rsidR="00A81C95" w:rsidRPr="005D3D51" w:rsidRDefault="00E7371E" w:rsidP="00FC574D">
            <w:pPr>
              <w:pStyle w:val="Default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before="60"/>
              <w:ind w:left="568" w:hanging="284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Avaliação externa</w:t>
            </w:r>
          </w:p>
          <w:p w14:paraId="2175FE4B" w14:textId="46A941A9" w:rsidR="00B02BAD" w:rsidRPr="005D3D51" w:rsidRDefault="00B02BAD" w:rsidP="00B02BAD">
            <w:pPr>
              <w:pStyle w:val="Default"/>
              <w:tabs>
                <w:tab w:val="left" w:pos="284"/>
                <w:tab w:val="left" w:pos="567"/>
              </w:tabs>
              <w:spacing w:before="60"/>
              <w:rPr>
                <w:color w:val="auto"/>
                <w:sz w:val="21"/>
                <w:szCs w:val="21"/>
              </w:rPr>
            </w:pPr>
          </w:p>
          <w:p w14:paraId="259E9391" w14:textId="4CD387CD" w:rsidR="00570763" w:rsidRPr="005D3D51" w:rsidRDefault="00570763" w:rsidP="00B02BAD">
            <w:pPr>
              <w:pStyle w:val="Default"/>
              <w:tabs>
                <w:tab w:val="left" w:pos="284"/>
                <w:tab w:val="left" w:pos="567"/>
              </w:tabs>
              <w:spacing w:before="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Para todas as compras/aquisições/contratações em cada uma das 6 categorias de custo referidas (por ex. contratos de prestação de serviços na rubrica “Pessoal”, equipamentos de TI na rubrica “Despesas não correntes/Investimentos), cujo valor excede a 1.000 €</w:t>
            </w:r>
            <w:r w:rsidR="00E019BB">
              <w:rPr>
                <w:color w:val="auto"/>
                <w:sz w:val="21"/>
              </w:rPr>
              <w:t xml:space="preserve"> (sem IVA)</w:t>
            </w:r>
            <w:r>
              <w:rPr>
                <w:color w:val="auto"/>
                <w:sz w:val="21"/>
              </w:rPr>
              <w:t>, é necessário coletar 3 ofertas comparativas e documentar as razões que justificam a proposta escolhida.</w:t>
            </w:r>
          </w:p>
          <w:p w14:paraId="56DB1214" w14:textId="2235F2A6" w:rsidR="00143C52" w:rsidRPr="005D3D51" w:rsidRDefault="00BE3F2E" w:rsidP="00B02BAD">
            <w:pPr>
              <w:pStyle w:val="Default"/>
              <w:tabs>
                <w:tab w:val="left" w:pos="284"/>
                <w:tab w:val="left" w:pos="567"/>
              </w:tabs>
              <w:spacing w:before="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Só podem serão reconhecidos custos que, efetivamente, têm pagamento registrado. Custos calculatórios como amortizações ou também aluguel para o uso de espaços ou veículos próprios, etc. não podem ser contabilizados na prestação de contas.</w:t>
            </w:r>
          </w:p>
          <w:p w14:paraId="6648D5FF" w14:textId="567620B0" w:rsidR="00B02BAD" w:rsidRPr="00F745E4" w:rsidRDefault="00B02BAD" w:rsidP="00B02BAD">
            <w:pPr>
              <w:pStyle w:val="Default"/>
              <w:tabs>
                <w:tab w:val="left" w:pos="284"/>
                <w:tab w:val="left" w:pos="567"/>
              </w:tabs>
              <w:spacing w:before="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Por favor, tenha em conta que todas as despesas incluídas no orçamento devem estar relacionadas com o projeto. Despesas institucionais que sirvam exclusivamente a instituição e não estejam relacionadas com o projeto, como por exemplo o trabalho </w:t>
            </w:r>
            <w:r w:rsidR="00E019BB">
              <w:rPr>
                <w:color w:val="auto"/>
                <w:sz w:val="21"/>
              </w:rPr>
              <w:t>do conselho diretivo, reunião de associados</w:t>
            </w:r>
            <w:r>
              <w:rPr>
                <w:color w:val="auto"/>
                <w:sz w:val="21"/>
              </w:rPr>
              <w:t xml:space="preserve">, não são elegíveis para </w:t>
            </w:r>
            <w:r w:rsidRPr="00F745E4">
              <w:rPr>
                <w:color w:val="auto"/>
                <w:sz w:val="21"/>
              </w:rPr>
              <w:t xml:space="preserve">financiamento. </w:t>
            </w:r>
          </w:p>
          <w:p w14:paraId="6FC2363B" w14:textId="4C67BEEC" w:rsidR="00D85100" w:rsidRPr="005D3D51" w:rsidRDefault="00D85100" w:rsidP="00C93920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6EDC544E" w14:textId="77D56B28" w:rsidR="00143F4C" w:rsidRPr="00C93920" w:rsidRDefault="00143F4C" w:rsidP="00B70B31">
      <w:pPr>
        <w:rPr>
          <w:rFonts w:eastAsiaTheme="minorEastAsia" w:cs="MetaBookLF"/>
          <w:color w:val="000000"/>
          <w:sz w:val="21"/>
          <w:szCs w:val="21"/>
        </w:rPr>
      </w:pPr>
    </w:p>
    <w:sectPr w:rsidR="00143F4C" w:rsidRPr="00C93920" w:rsidSect="00B55B4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2FB4" w14:textId="77777777" w:rsidR="002F6E6A" w:rsidRDefault="002F6E6A" w:rsidP="004F6F1A">
      <w:pPr>
        <w:spacing w:line="240" w:lineRule="auto"/>
      </w:pPr>
      <w:r>
        <w:separator/>
      </w:r>
    </w:p>
  </w:endnote>
  <w:endnote w:type="continuationSeparator" w:id="0">
    <w:p w14:paraId="12EBBEC1" w14:textId="77777777" w:rsidR="002F6E6A" w:rsidRDefault="002F6E6A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14:paraId="1D72A818" w14:textId="77777777" w:rsidTr="007D02F5">
      <w:tc>
        <w:tcPr>
          <w:tcW w:w="7807" w:type="dxa"/>
        </w:tcPr>
        <w:p w14:paraId="35A1FA6F" w14:textId="21A42BB4" w:rsidR="00CE2B63" w:rsidRPr="00800DF6" w:rsidRDefault="00CE2B63" w:rsidP="007D02F5">
          <w:pPr>
            <w:pStyle w:val="Fuzeile"/>
            <w:tabs>
              <w:tab w:val="clear" w:pos="4536"/>
            </w:tabs>
            <w:rPr>
              <w:szCs w:val="16"/>
            </w:rPr>
          </w:pPr>
        </w:p>
      </w:tc>
      <w:tc>
        <w:tcPr>
          <w:tcW w:w="1148" w:type="dxa"/>
        </w:tcPr>
        <w:p w14:paraId="22113C2F" w14:textId="546C1E23"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  <w:tc>
        <w:tcPr>
          <w:tcW w:w="650" w:type="dxa"/>
        </w:tcPr>
        <w:p w14:paraId="0A3E91F9" w14:textId="77777777" w:rsidR="00CE2B63" w:rsidRPr="00800DF6" w:rsidRDefault="003D6DB1" w:rsidP="00AC2509">
          <w:pPr>
            <w:pStyle w:val="Fuzeile"/>
            <w:jc w:val="right"/>
            <w:rPr>
              <w:szCs w:val="16"/>
            </w:rPr>
          </w:pPr>
          <w:r w:rsidRPr="00800DF6">
            <w:fldChar w:fldCharType="begin"/>
          </w:r>
          <w:r w:rsidR="00AC2509" w:rsidRPr="00800DF6">
            <w:instrText xml:space="preserve"> PAGE  \* MERGEFORMAT </w:instrText>
          </w:r>
          <w:r w:rsidRPr="00800DF6">
            <w:fldChar w:fldCharType="separate"/>
          </w:r>
          <w:r w:rsidR="00F71937">
            <w:t>1</w:t>
          </w:r>
          <w:r w:rsidRPr="00800DF6">
            <w:fldChar w:fldCharType="end"/>
          </w:r>
          <w:r>
            <w:t>/</w:t>
          </w:r>
          <w:r w:rsidR="00803D20">
            <w:fldChar w:fldCharType="begin"/>
          </w:r>
          <w:r w:rsidR="00803D20">
            <w:instrText xml:space="preserve"> NUMPAGES   \* MERGEFORMAT </w:instrText>
          </w:r>
          <w:r w:rsidR="00803D20">
            <w:fldChar w:fldCharType="separate"/>
          </w:r>
          <w:r w:rsidR="00F71937">
            <w:t>1</w:t>
          </w:r>
          <w:r w:rsidR="00803D20">
            <w:fldChar w:fldCharType="end"/>
          </w:r>
        </w:p>
      </w:tc>
    </w:tr>
  </w:tbl>
  <w:p w14:paraId="52A761C1" w14:textId="77777777" w:rsidR="004F6F1A" w:rsidRPr="00F73FFC" w:rsidRDefault="004F6F1A" w:rsidP="00F745E4">
    <w:pPr>
      <w:pStyle w:val="Fuzeile"/>
      <w:spacing w:line="4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7E2E" w14:textId="77777777" w:rsidR="002F6E6A" w:rsidRDefault="002F6E6A" w:rsidP="004F6F1A">
      <w:pPr>
        <w:spacing w:line="240" w:lineRule="auto"/>
      </w:pPr>
      <w:r>
        <w:separator/>
      </w:r>
    </w:p>
  </w:footnote>
  <w:footnote w:type="continuationSeparator" w:id="0">
    <w:p w14:paraId="1FF6EAEC" w14:textId="77777777" w:rsidR="002F6E6A" w:rsidRDefault="002F6E6A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22D"/>
    <w:multiLevelType w:val="hybridMultilevel"/>
    <w:tmpl w:val="2D8A5D3C"/>
    <w:lvl w:ilvl="0" w:tplc="48F2E3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AEF"/>
    <w:multiLevelType w:val="hybridMultilevel"/>
    <w:tmpl w:val="843439B0"/>
    <w:lvl w:ilvl="0" w:tplc="7E561F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D93D2F"/>
    <w:multiLevelType w:val="hybridMultilevel"/>
    <w:tmpl w:val="F6FA5B42"/>
    <w:lvl w:ilvl="0" w:tplc="8A58D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63D3"/>
    <w:multiLevelType w:val="hybridMultilevel"/>
    <w:tmpl w:val="C3F063C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974805"/>
    <w:multiLevelType w:val="hybridMultilevel"/>
    <w:tmpl w:val="65D4F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1327C"/>
    <w:multiLevelType w:val="hybridMultilevel"/>
    <w:tmpl w:val="E750ADD4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6249DE"/>
    <w:multiLevelType w:val="hybridMultilevel"/>
    <w:tmpl w:val="EF80B6EE"/>
    <w:lvl w:ilvl="0" w:tplc="288619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10AEC"/>
    <w:multiLevelType w:val="hybridMultilevel"/>
    <w:tmpl w:val="5AF038FE"/>
    <w:lvl w:ilvl="0" w:tplc="451EEF64">
      <w:start w:val="6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-7208" w:hanging="360"/>
      </w:pPr>
    </w:lvl>
    <w:lvl w:ilvl="2" w:tplc="0407001B" w:tentative="1">
      <w:start w:val="1"/>
      <w:numFmt w:val="lowerRoman"/>
      <w:lvlText w:val="%3."/>
      <w:lvlJc w:val="right"/>
      <w:pPr>
        <w:ind w:left="-6488" w:hanging="180"/>
      </w:pPr>
    </w:lvl>
    <w:lvl w:ilvl="3" w:tplc="0407000F" w:tentative="1">
      <w:start w:val="1"/>
      <w:numFmt w:val="decimal"/>
      <w:lvlText w:val="%4."/>
      <w:lvlJc w:val="left"/>
      <w:pPr>
        <w:ind w:left="-5768" w:hanging="360"/>
      </w:pPr>
    </w:lvl>
    <w:lvl w:ilvl="4" w:tplc="04070019" w:tentative="1">
      <w:start w:val="1"/>
      <w:numFmt w:val="lowerLetter"/>
      <w:lvlText w:val="%5."/>
      <w:lvlJc w:val="left"/>
      <w:pPr>
        <w:ind w:left="-5048" w:hanging="360"/>
      </w:pPr>
    </w:lvl>
    <w:lvl w:ilvl="5" w:tplc="0407001B" w:tentative="1">
      <w:start w:val="1"/>
      <w:numFmt w:val="lowerRoman"/>
      <w:lvlText w:val="%6."/>
      <w:lvlJc w:val="right"/>
      <w:pPr>
        <w:ind w:left="-4328" w:hanging="180"/>
      </w:pPr>
    </w:lvl>
    <w:lvl w:ilvl="6" w:tplc="0407000F" w:tentative="1">
      <w:start w:val="1"/>
      <w:numFmt w:val="decimal"/>
      <w:lvlText w:val="%7."/>
      <w:lvlJc w:val="left"/>
      <w:pPr>
        <w:ind w:left="-3608" w:hanging="360"/>
      </w:pPr>
    </w:lvl>
    <w:lvl w:ilvl="7" w:tplc="04070019" w:tentative="1">
      <w:start w:val="1"/>
      <w:numFmt w:val="lowerLetter"/>
      <w:lvlText w:val="%8."/>
      <w:lvlJc w:val="left"/>
      <w:pPr>
        <w:ind w:left="-2888" w:hanging="360"/>
      </w:pPr>
    </w:lvl>
    <w:lvl w:ilvl="8" w:tplc="0407001B" w:tentative="1">
      <w:start w:val="1"/>
      <w:numFmt w:val="lowerRoman"/>
      <w:lvlText w:val="%9."/>
      <w:lvlJc w:val="right"/>
      <w:pPr>
        <w:ind w:left="-2168" w:hanging="180"/>
      </w:pPr>
    </w:lvl>
  </w:abstractNum>
  <w:abstractNum w:abstractNumId="8" w15:restartNumberingAfterBreak="0">
    <w:nsid w:val="767B1EA9"/>
    <w:multiLevelType w:val="hybridMultilevel"/>
    <w:tmpl w:val="1376196A"/>
    <w:lvl w:ilvl="0" w:tplc="6A8628A2">
      <w:numFmt w:val="bullet"/>
      <w:lvlText w:val="-"/>
      <w:lvlJc w:val="left"/>
      <w:pPr>
        <w:ind w:left="720" w:hanging="360"/>
      </w:pPr>
      <w:rPr>
        <w:rFonts w:ascii="MetaBookLF" w:eastAsiaTheme="minorHAnsi" w:hAnsi="MetaBookL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1481E"/>
    <w:multiLevelType w:val="multilevel"/>
    <w:tmpl w:val="286E6D4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9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A"/>
    <w:rsid w:val="00003BA2"/>
    <w:rsid w:val="00022CF2"/>
    <w:rsid w:val="00071833"/>
    <w:rsid w:val="0008196A"/>
    <w:rsid w:val="00084316"/>
    <w:rsid w:val="000A4BAF"/>
    <w:rsid w:val="000B4075"/>
    <w:rsid w:val="000D7FAC"/>
    <w:rsid w:val="001019B3"/>
    <w:rsid w:val="00114180"/>
    <w:rsid w:val="00125EB4"/>
    <w:rsid w:val="00143C52"/>
    <w:rsid w:val="00143F4C"/>
    <w:rsid w:val="0015183E"/>
    <w:rsid w:val="001571DC"/>
    <w:rsid w:val="00192BC4"/>
    <w:rsid w:val="001A5F02"/>
    <w:rsid w:val="001C3900"/>
    <w:rsid w:val="001F2F26"/>
    <w:rsid w:val="002513CF"/>
    <w:rsid w:val="00266073"/>
    <w:rsid w:val="00272112"/>
    <w:rsid w:val="0028317C"/>
    <w:rsid w:val="002A12D0"/>
    <w:rsid w:val="002C16B0"/>
    <w:rsid w:val="002D27BA"/>
    <w:rsid w:val="002F6E6A"/>
    <w:rsid w:val="00303FB5"/>
    <w:rsid w:val="00305D56"/>
    <w:rsid w:val="00312C7F"/>
    <w:rsid w:val="00326923"/>
    <w:rsid w:val="00343952"/>
    <w:rsid w:val="0038438A"/>
    <w:rsid w:val="00387BCE"/>
    <w:rsid w:val="003C2AF5"/>
    <w:rsid w:val="003D6DB1"/>
    <w:rsid w:val="00402F4D"/>
    <w:rsid w:val="004119DA"/>
    <w:rsid w:val="004374DB"/>
    <w:rsid w:val="00464D37"/>
    <w:rsid w:val="00473B03"/>
    <w:rsid w:val="004F6F1A"/>
    <w:rsid w:val="00504E4B"/>
    <w:rsid w:val="00527224"/>
    <w:rsid w:val="005356CC"/>
    <w:rsid w:val="00540D27"/>
    <w:rsid w:val="00544261"/>
    <w:rsid w:val="00561AE5"/>
    <w:rsid w:val="00570763"/>
    <w:rsid w:val="00574CCB"/>
    <w:rsid w:val="00593F73"/>
    <w:rsid w:val="005C3BBD"/>
    <w:rsid w:val="005C449B"/>
    <w:rsid w:val="005C57B7"/>
    <w:rsid w:val="005D31C7"/>
    <w:rsid w:val="005D3D51"/>
    <w:rsid w:val="005D53CD"/>
    <w:rsid w:val="005E4FD4"/>
    <w:rsid w:val="00603083"/>
    <w:rsid w:val="00617CD2"/>
    <w:rsid w:val="00641140"/>
    <w:rsid w:val="00662750"/>
    <w:rsid w:val="00667CAE"/>
    <w:rsid w:val="006A099C"/>
    <w:rsid w:val="006C01F3"/>
    <w:rsid w:val="006D62DB"/>
    <w:rsid w:val="006F1284"/>
    <w:rsid w:val="007112FD"/>
    <w:rsid w:val="007117D0"/>
    <w:rsid w:val="00767466"/>
    <w:rsid w:val="0077766F"/>
    <w:rsid w:val="00783E7D"/>
    <w:rsid w:val="00792FE1"/>
    <w:rsid w:val="00793DEA"/>
    <w:rsid w:val="007A1EA6"/>
    <w:rsid w:val="007D02F5"/>
    <w:rsid w:val="007D1545"/>
    <w:rsid w:val="00800DF6"/>
    <w:rsid w:val="0080388A"/>
    <w:rsid w:val="00803D20"/>
    <w:rsid w:val="00807306"/>
    <w:rsid w:val="00822EC0"/>
    <w:rsid w:val="00833CDC"/>
    <w:rsid w:val="008475E7"/>
    <w:rsid w:val="00854971"/>
    <w:rsid w:val="008B1141"/>
    <w:rsid w:val="008C1E23"/>
    <w:rsid w:val="008C75AD"/>
    <w:rsid w:val="008D12B2"/>
    <w:rsid w:val="008F7281"/>
    <w:rsid w:val="0096664A"/>
    <w:rsid w:val="00976D73"/>
    <w:rsid w:val="00994245"/>
    <w:rsid w:val="009A10F2"/>
    <w:rsid w:val="009C06FB"/>
    <w:rsid w:val="00A10982"/>
    <w:rsid w:val="00A157EF"/>
    <w:rsid w:val="00A1775E"/>
    <w:rsid w:val="00A21A08"/>
    <w:rsid w:val="00A30A15"/>
    <w:rsid w:val="00A510A4"/>
    <w:rsid w:val="00A6293A"/>
    <w:rsid w:val="00A81C95"/>
    <w:rsid w:val="00A87D59"/>
    <w:rsid w:val="00AA6E6C"/>
    <w:rsid w:val="00AC2509"/>
    <w:rsid w:val="00AC3BE2"/>
    <w:rsid w:val="00B02BAD"/>
    <w:rsid w:val="00B0645B"/>
    <w:rsid w:val="00B30EAF"/>
    <w:rsid w:val="00B52400"/>
    <w:rsid w:val="00B55B44"/>
    <w:rsid w:val="00B70B31"/>
    <w:rsid w:val="00B7662F"/>
    <w:rsid w:val="00BA53B6"/>
    <w:rsid w:val="00BB5F15"/>
    <w:rsid w:val="00BC5BDA"/>
    <w:rsid w:val="00BC71AA"/>
    <w:rsid w:val="00BE02E6"/>
    <w:rsid w:val="00BE3F2E"/>
    <w:rsid w:val="00BF3B84"/>
    <w:rsid w:val="00BF6EF1"/>
    <w:rsid w:val="00BF7224"/>
    <w:rsid w:val="00C04066"/>
    <w:rsid w:val="00C345E5"/>
    <w:rsid w:val="00C5073B"/>
    <w:rsid w:val="00C56955"/>
    <w:rsid w:val="00C749CD"/>
    <w:rsid w:val="00C81ABC"/>
    <w:rsid w:val="00C93920"/>
    <w:rsid w:val="00C97D16"/>
    <w:rsid w:val="00CA7B28"/>
    <w:rsid w:val="00CD165B"/>
    <w:rsid w:val="00CD3AFB"/>
    <w:rsid w:val="00CE2B63"/>
    <w:rsid w:val="00D07EFE"/>
    <w:rsid w:val="00D157A4"/>
    <w:rsid w:val="00D64C7B"/>
    <w:rsid w:val="00D85100"/>
    <w:rsid w:val="00D92473"/>
    <w:rsid w:val="00D931F3"/>
    <w:rsid w:val="00DA259B"/>
    <w:rsid w:val="00DC259C"/>
    <w:rsid w:val="00E01899"/>
    <w:rsid w:val="00E019BB"/>
    <w:rsid w:val="00E06AC9"/>
    <w:rsid w:val="00E46C87"/>
    <w:rsid w:val="00E513CF"/>
    <w:rsid w:val="00E612A2"/>
    <w:rsid w:val="00E7249B"/>
    <w:rsid w:val="00E7371E"/>
    <w:rsid w:val="00E87E28"/>
    <w:rsid w:val="00E9694D"/>
    <w:rsid w:val="00EA7ABA"/>
    <w:rsid w:val="00EE1693"/>
    <w:rsid w:val="00EE4BE8"/>
    <w:rsid w:val="00F225DC"/>
    <w:rsid w:val="00F23AD4"/>
    <w:rsid w:val="00F348C3"/>
    <w:rsid w:val="00F354E6"/>
    <w:rsid w:val="00F42BAE"/>
    <w:rsid w:val="00F71937"/>
    <w:rsid w:val="00F73FFC"/>
    <w:rsid w:val="00F745E4"/>
    <w:rsid w:val="00F761EF"/>
    <w:rsid w:val="00F7652E"/>
    <w:rsid w:val="00F81520"/>
    <w:rsid w:val="00FA10DE"/>
    <w:rsid w:val="00FA735C"/>
    <w:rsid w:val="00FC552B"/>
    <w:rsid w:val="00FC5ABE"/>
    <w:rsid w:val="00FE1B10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941786"/>
  <w15:chartTrackingRefBased/>
  <w15:docId w15:val="{AD0F6B7C-D747-495B-8F39-1B7A9738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07EF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rsid w:val="00A81C9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81C95"/>
    <w:pPr>
      <w:spacing w:line="240" w:lineRule="auto"/>
    </w:pPr>
    <w:rPr>
      <w:rFonts w:ascii="MetaBookLF" w:eastAsia="Times New Roman" w:hAnsi="MetaBookLF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81C95"/>
    <w:rPr>
      <w:rFonts w:ascii="MetaBookLF" w:eastAsia="Times New Roman" w:hAnsi="MetaBookLF" w:cs="Times New Roman"/>
      <w:sz w:val="20"/>
      <w:szCs w:val="20"/>
      <w:lang w:eastAsia="de-DE"/>
    </w:rPr>
  </w:style>
  <w:style w:type="paragraph" w:customStyle="1" w:styleId="Default">
    <w:name w:val="Default"/>
    <w:locked/>
    <w:rsid w:val="00A81C95"/>
    <w:pPr>
      <w:autoSpaceDE w:val="0"/>
      <w:autoSpaceDN w:val="0"/>
      <w:adjustRightInd w:val="0"/>
      <w:spacing w:after="0" w:line="240" w:lineRule="auto"/>
    </w:pPr>
    <w:rPr>
      <w:rFonts w:ascii="MetaBookLF" w:eastAsia="Times New Roman" w:hAnsi="MetaBookLF" w:cs="MetaBookLF"/>
      <w:color w:val="00000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DE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DEA"/>
    <w:rPr>
      <w:rFonts w:ascii="MetaBookLF" w:eastAsia="Times New Roman" w:hAnsi="MetaBookLF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356C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E1693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6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4075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ereor.org/pt/cooperacao-servico/politicas-de-acao-guias-formulari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sereor.org/fileadmin/user_upload_misereororg/cooperation/forms/pt/construction/guia-procedimento-a-seguir-em-caso-de-projetos-de-construcao.pdf" TargetMode="External"/><Relationship Id="rId4" Type="http://schemas.openxmlformats.org/officeDocument/2006/relationships/settings" Target="settings.xml"/><Relationship Id="rId9" Type="http://schemas.openxmlformats.org/officeDocument/2006/relationships/oleObject" Target="https://www.misereor.org/fileadmin/user_upload_misereororg/cooperation/forms/pt/EA_AL_S_M_Modelo_de_Orcamento_e_Plano_de_financiamento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A7C4-EB40-432A-BE56-8CF38B3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Maywurm, Christian</dc:creator>
  <cp:keywords/>
  <dc:description/>
  <cp:lastModifiedBy>Garcia, Julia</cp:lastModifiedBy>
  <cp:revision>3</cp:revision>
  <dcterms:created xsi:type="dcterms:W3CDTF">2023-02-08T14:32:00Z</dcterms:created>
  <dcterms:modified xsi:type="dcterms:W3CDTF">2023-02-08T14:33:00Z</dcterms:modified>
</cp:coreProperties>
</file>